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C63B6" w14:textId="77777777" w:rsidR="003D4F2B" w:rsidRPr="00B31835" w:rsidRDefault="00B31835" w:rsidP="003D4F2B">
      <w:pPr>
        <w:pStyle w:val="OHHpara"/>
        <w:spacing w:after="0"/>
        <w:ind w:firstLine="720"/>
        <w:jc w:val="center"/>
        <w:rPr>
          <w:b/>
          <w:u w:val="single"/>
        </w:rPr>
      </w:pPr>
      <w:r>
        <w:rPr>
          <w:b/>
          <w:u w:val="single"/>
        </w:rPr>
        <w:t>MODÈLE D</w:t>
      </w:r>
      <w:r w:rsidR="00936EFC">
        <w:rPr>
          <w:b/>
          <w:u w:val="single"/>
        </w:rPr>
        <w:t>’</w:t>
      </w:r>
      <w:r>
        <w:rPr>
          <w:b/>
          <w:u w:val="single"/>
        </w:rPr>
        <w:t>ENTENTE DE COLLABORATION</w:t>
      </w:r>
    </w:p>
    <w:p w14:paraId="5F0A0DD0" w14:textId="77777777" w:rsidR="00BC007E" w:rsidRPr="00B31835" w:rsidRDefault="00B31835">
      <w:pPr>
        <w:pStyle w:val="OHHpara"/>
        <w:ind w:firstLine="720"/>
        <w:jc w:val="center"/>
        <w:rPr>
          <w:b/>
          <w:u w:val="single"/>
        </w:rPr>
      </w:pPr>
      <w:r>
        <w:rPr>
          <w:b/>
          <w:u w:val="single"/>
        </w:rPr>
        <w:t>Entente relative au détendeur de fonds et à l</w:t>
      </w:r>
      <w:r w:rsidR="00936EFC">
        <w:rPr>
          <w:b/>
          <w:u w:val="single"/>
        </w:rPr>
        <w:t>’</w:t>
      </w:r>
      <w:r>
        <w:rPr>
          <w:b/>
          <w:u w:val="single"/>
        </w:rPr>
        <w:t>indemnisation</w:t>
      </w:r>
    </w:p>
    <w:p w14:paraId="1FC0D675" w14:textId="77777777" w:rsidR="00766F01" w:rsidRPr="00B31835" w:rsidRDefault="00766F01" w:rsidP="00766F01">
      <w:pPr>
        <w:pStyle w:val="OHHpara"/>
        <w:spacing w:after="0"/>
        <w:ind w:firstLine="720"/>
      </w:pPr>
    </w:p>
    <w:p w14:paraId="43EFFD94" w14:textId="77777777" w:rsidR="00BC007E" w:rsidRPr="00B31835" w:rsidRDefault="00B31835">
      <w:pPr>
        <w:pStyle w:val="OHHpara"/>
        <w:ind w:firstLine="720"/>
      </w:pPr>
      <w:r>
        <w:t xml:space="preserve">La présente entente est conclue ce </w:t>
      </w:r>
      <w:r>
        <w:rPr>
          <w:u w:val="single"/>
        </w:rPr>
        <w:tab/>
      </w:r>
      <w:r>
        <w:rPr>
          <w:vertAlign w:val="superscript"/>
        </w:rPr>
        <w:t>e</w:t>
      </w:r>
      <w:r>
        <w:t xml:space="preserve"> jour du mois de </w:t>
      </w:r>
      <w:r>
        <w:rPr>
          <w:u w:val="single"/>
        </w:rPr>
        <w:tab/>
      </w:r>
      <w:r>
        <w:rPr>
          <w:u w:val="single"/>
        </w:rPr>
        <w:tab/>
      </w:r>
      <w:r>
        <w:t xml:space="preserve"> 202_.</w:t>
      </w:r>
    </w:p>
    <w:p w14:paraId="68DFDDA5" w14:textId="77777777" w:rsidR="00BC007E" w:rsidRPr="00B31835" w:rsidRDefault="00B31835">
      <w:pPr>
        <w:pStyle w:val="OHHpara"/>
        <w:rPr>
          <w:b/>
        </w:rPr>
      </w:pPr>
      <w:r>
        <w:rPr>
          <w:b/>
        </w:rPr>
        <w:t>ENTRE ET PARMI :</w:t>
      </w:r>
    </w:p>
    <w:p w14:paraId="6F46FCB3" w14:textId="77777777" w:rsidR="00BC007E" w:rsidRPr="00B31835" w:rsidRDefault="00B31835">
      <w:pPr>
        <w:pStyle w:val="OHHpara"/>
        <w:ind w:left="1440" w:firstLine="720"/>
        <w:rPr>
          <w:b/>
        </w:rPr>
      </w:pPr>
      <w:r>
        <w:rPr>
          <w:b/>
        </w:rPr>
        <w:t>INSCRIRE LE NOM DU DÉTENTEUR DU FONDS</w:t>
      </w:r>
    </w:p>
    <w:p w14:paraId="11593F3D" w14:textId="77777777" w:rsidR="00BC007E" w:rsidRPr="00B31835" w:rsidRDefault="00B31835">
      <w:pPr>
        <w:pStyle w:val="OHHpara"/>
        <w:ind w:left="1440" w:firstLine="720"/>
      </w:pPr>
      <w:r>
        <w:t>(ci-après dénommé « </w:t>
      </w:r>
      <w:r>
        <w:rPr>
          <w:b/>
        </w:rPr>
        <w:t>détenteur de fonds</w:t>
      </w:r>
      <w:r>
        <w:t> »)</w:t>
      </w:r>
    </w:p>
    <w:p w14:paraId="27DBC354" w14:textId="77777777" w:rsidR="00BC007E" w:rsidRPr="00B31835" w:rsidRDefault="00B31835">
      <w:pPr>
        <w:pStyle w:val="OHHpara"/>
        <w:ind w:left="1440" w:firstLine="720"/>
      </w:pPr>
      <w:r>
        <w:t>- et -</w:t>
      </w:r>
    </w:p>
    <w:p w14:paraId="34E141E3" w14:textId="77777777" w:rsidR="00BC007E" w:rsidRPr="00B31835" w:rsidRDefault="00B31835">
      <w:pPr>
        <w:pStyle w:val="OHHpara"/>
        <w:ind w:left="1440" w:firstLine="720"/>
        <w:rPr>
          <w:b/>
        </w:rPr>
      </w:pPr>
      <w:r>
        <w:rPr>
          <w:b/>
        </w:rPr>
        <w:t>LES MEMBRES DE L</w:t>
      </w:r>
      <w:r w:rsidR="00936EFC">
        <w:rPr>
          <w:b/>
        </w:rPr>
        <w:t>’</w:t>
      </w:r>
      <w:r>
        <w:rPr>
          <w:b/>
        </w:rPr>
        <w:t>ÉQUIPE ÉNUMÉRÉS À L</w:t>
      </w:r>
      <w:r w:rsidR="00936EFC">
        <w:rPr>
          <w:b/>
        </w:rPr>
        <w:t>’</w:t>
      </w:r>
      <w:r>
        <w:rPr>
          <w:b/>
        </w:rPr>
        <w:t>ANNEXE « A »</w:t>
      </w:r>
    </w:p>
    <w:p w14:paraId="40A9692C" w14:textId="77777777" w:rsidR="00E26071" w:rsidRPr="00B31835" w:rsidRDefault="00B31835" w:rsidP="000A119F">
      <w:pPr>
        <w:pStyle w:val="OHHpara"/>
        <w:ind w:left="1440" w:firstLine="720"/>
      </w:pPr>
      <w:r>
        <w:t>(ci-après dénommés les « </w:t>
      </w:r>
      <w:r>
        <w:rPr>
          <w:b/>
        </w:rPr>
        <w:t>membres de l</w:t>
      </w:r>
      <w:r w:rsidR="00936EFC">
        <w:rPr>
          <w:b/>
        </w:rPr>
        <w:t>’</w:t>
      </w:r>
      <w:r>
        <w:rPr>
          <w:b/>
        </w:rPr>
        <w:t>équipe</w:t>
      </w:r>
      <w:r>
        <w:t> »)</w:t>
      </w:r>
    </w:p>
    <w:p w14:paraId="3E34904E" w14:textId="77777777" w:rsidR="00E26071" w:rsidRPr="00B31835" w:rsidRDefault="00B31835">
      <w:pPr>
        <w:pStyle w:val="OHHpara"/>
        <w:rPr>
          <w:b/>
        </w:rPr>
      </w:pPr>
      <w:r>
        <w:rPr>
          <w:b/>
        </w:rPr>
        <w:t>CONTEXTE :</w:t>
      </w:r>
    </w:p>
    <w:p w14:paraId="0190D994" w14:textId="77777777" w:rsidR="00E1203A" w:rsidRPr="00B31835" w:rsidRDefault="00B31835" w:rsidP="00E26071">
      <w:pPr>
        <w:pStyle w:val="OHHpara"/>
        <w:numPr>
          <w:ilvl w:val="0"/>
          <w:numId w:val="22"/>
        </w:numPr>
      </w:pPr>
      <w:r>
        <w:t>Les membres de l</w:t>
      </w:r>
      <w:r w:rsidR="00936EFC">
        <w:t>’</w:t>
      </w:r>
      <w:r>
        <w:t>équipe sont membres de l</w:t>
      </w:r>
      <w:r w:rsidR="00936EFC">
        <w:t>’</w:t>
      </w:r>
      <w:r>
        <w:t xml:space="preserve">équipe Santé Ontario </w:t>
      </w:r>
      <w:r>
        <w:rPr>
          <w:b/>
          <w:i/>
          <w:highlight w:val="yellow"/>
        </w:rPr>
        <w:t>XXX</w:t>
      </w:r>
      <w:r>
        <w:t xml:space="preserve"> (« </w:t>
      </w:r>
      <w:r>
        <w:rPr>
          <w:b/>
        </w:rPr>
        <w:t>ÉSO-X</w:t>
      </w:r>
      <w:r>
        <w:t xml:space="preserve"> »), une équipe Santé Ontario </w:t>
      </w:r>
      <w:r>
        <w:rPr>
          <w:b/>
          <w:i/>
          <w:highlight w:val="yellow"/>
        </w:rPr>
        <w:t>[approuvée/désignée]</w:t>
      </w:r>
      <w:r>
        <w:t xml:space="preserve"> en tant que telle par le ministre de la Santé aux termes de la </w:t>
      </w:r>
      <w:r>
        <w:rPr>
          <w:i/>
          <w:iCs/>
        </w:rPr>
        <w:t>Loi de 2019 pour des soins interconnectés</w:t>
      </w:r>
      <w:r>
        <w:t xml:space="preserve">; </w:t>
      </w:r>
      <w:r>
        <w:rPr>
          <w:b/>
          <w:i/>
          <w:iCs/>
          <w:highlight w:val="yellow"/>
        </w:rPr>
        <w:t>[peut nécessiter une modification si l</w:t>
      </w:r>
      <w:r w:rsidR="00936EFC">
        <w:rPr>
          <w:b/>
          <w:i/>
          <w:iCs/>
          <w:highlight w:val="yellow"/>
        </w:rPr>
        <w:t>’</w:t>
      </w:r>
      <w:r>
        <w:rPr>
          <w:b/>
          <w:i/>
          <w:iCs/>
          <w:highlight w:val="yellow"/>
        </w:rPr>
        <w:t>ÉSO n</w:t>
      </w:r>
      <w:r w:rsidR="00936EFC">
        <w:rPr>
          <w:b/>
          <w:i/>
          <w:iCs/>
          <w:highlight w:val="yellow"/>
        </w:rPr>
        <w:t>’</w:t>
      </w:r>
      <w:r>
        <w:rPr>
          <w:b/>
          <w:i/>
          <w:iCs/>
          <w:highlight w:val="yellow"/>
        </w:rPr>
        <w:t>est pas encore approuvée/désignée]</w:t>
      </w:r>
      <w:r>
        <w:t>.</w:t>
      </w:r>
    </w:p>
    <w:p w14:paraId="2CF7C30E" w14:textId="77777777" w:rsidR="00E1203A" w:rsidRPr="00B31835" w:rsidRDefault="00B31835" w:rsidP="00E26071">
      <w:pPr>
        <w:pStyle w:val="OHHpara"/>
        <w:numPr>
          <w:ilvl w:val="0"/>
          <w:numId w:val="22"/>
        </w:numPr>
      </w:pPr>
      <w:r>
        <w:t>Les membres de l</w:t>
      </w:r>
      <w:r w:rsidR="00936EFC">
        <w:t>’</w:t>
      </w:r>
      <w:r>
        <w:t>équipe ont conclu une entente de collaboration</w:t>
      </w:r>
      <w:r>
        <w:rPr>
          <w:b/>
        </w:rPr>
        <w:t xml:space="preserve"> </w:t>
      </w:r>
      <w:r>
        <w:t xml:space="preserve">en date du </w:t>
      </w:r>
      <w:r>
        <w:rPr>
          <w:b/>
          <w:i/>
          <w:highlight w:val="yellow"/>
        </w:rPr>
        <w:t>[inscrire la date]</w:t>
      </w:r>
      <w:r>
        <w:t xml:space="preserve"> aux termes de laquelle ils ont établi un conseil de collaboration et ont autorisé ce dernier à désigner un membre de l</w:t>
      </w:r>
      <w:r w:rsidR="00936EFC">
        <w:t>’</w:t>
      </w:r>
      <w:r>
        <w:t>équipe comme détenteur des fonds reçus par l</w:t>
      </w:r>
      <w:r w:rsidR="00936EFC">
        <w:t>’</w:t>
      </w:r>
      <w:r>
        <w:t>ÉSO-X de la part du ministère de la Santé ou de Santé Ontario pour l</w:t>
      </w:r>
      <w:r w:rsidR="00936EFC">
        <w:t>’</w:t>
      </w:r>
      <w:r>
        <w:t>ÉSO-X (« </w:t>
      </w:r>
      <w:r>
        <w:rPr>
          <w:b/>
        </w:rPr>
        <w:t>fonds du Ministère</w:t>
      </w:r>
      <w:r>
        <w:t> ») ou de tous les fonds que les membres de l</w:t>
      </w:r>
      <w:r w:rsidR="00936EFC">
        <w:t>’</w:t>
      </w:r>
      <w:r>
        <w:t>équipe conviennent de détenir à titre de fonds communs au profit du travail de l</w:t>
      </w:r>
      <w:r w:rsidR="00936EFC">
        <w:t>’</w:t>
      </w:r>
      <w:r>
        <w:t>ÉSO-X (« </w:t>
      </w:r>
      <w:r>
        <w:rPr>
          <w:b/>
        </w:rPr>
        <w:t>fonds communs</w:t>
      </w:r>
      <w:r>
        <w:t> »);</w:t>
      </w:r>
    </w:p>
    <w:p w14:paraId="3802C415" w14:textId="77777777" w:rsidR="00E1203A" w:rsidRPr="00B31835" w:rsidRDefault="00B31835" w:rsidP="00E26071">
      <w:pPr>
        <w:pStyle w:val="OHHpara"/>
        <w:numPr>
          <w:ilvl w:val="0"/>
          <w:numId w:val="22"/>
        </w:numPr>
      </w:pPr>
      <w:r>
        <w:t>Le conseil de collaboration a désigné le détenteur de fonds comme étant le membre de l</w:t>
      </w:r>
      <w:r w:rsidR="00936EFC">
        <w:t>’</w:t>
      </w:r>
      <w:r>
        <w:t>équipe qui détiendra tous les fonds du Ministère et les fonds communs, et le détenteur de fonds a accepté cette charge, sous réserve des conditions de la présente entente;</w:t>
      </w:r>
    </w:p>
    <w:p w14:paraId="5D29305B" w14:textId="77777777" w:rsidR="00E26071" w:rsidRPr="00B31835" w:rsidRDefault="00B31835" w:rsidP="00E26071">
      <w:pPr>
        <w:pStyle w:val="OHHpara"/>
        <w:numPr>
          <w:ilvl w:val="0"/>
          <w:numId w:val="22"/>
        </w:numPr>
      </w:pPr>
      <w:r>
        <w:t>Le détenteur de fonds, avec le consentement et sous la direction du conseil de collaboration, a l</w:t>
      </w:r>
      <w:r w:rsidR="00936EFC">
        <w:t>’</w:t>
      </w:r>
      <w:r>
        <w:t>intention de conclure un accord (« </w:t>
      </w:r>
      <w:r>
        <w:rPr>
          <w:b/>
        </w:rPr>
        <w:t>accord de paiement de transfert</w:t>
      </w:r>
      <w:r>
        <w:t> » ou « </w:t>
      </w:r>
      <w:r>
        <w:rPr>
          <w:b/>
        </w:rPr>
        <w:t>APT</w:t>
      </w:r>
      <w:r>
        <w:t> ») avec Sa Majesté la Reine du chef de l</w:t>
      </w:r>
      <w:r w:rsidR="00936EFC">
        <w:t>’</w:t>
      </w:r>
      <w:r>
        <w:t>Ontario, représentée par le ministère de la Santé (« </w:t>
      </w:r>
      <w:r>
        <w:rPr>
          <w:b/>
        </w:rPr>
        <w:t>Ministère</w:t>
      </w:r>
      <w:r>
        <w:t> »), aux termes duquel le Ministère a accepté de verser jusqu</w:t>
      </w:r>
      <w:r w:rsidR="00936EFC">
        <w:t>’</w:t>
      </w:r>
      <w:r>
        <w:t xml:space="preserve">à </w:t>
      </w:r>
      <w:r>
        <w:rPr>
          <w:b/>
          <w:i/>
          <w:highlight w:val="yellow"/>
        </w:rPr>
        <w:t>[inscrire le montant</w:t>
      </w:r>
      <w:r>
        <w:t xml:space="preserve">] dollars (xxx xxx $) au total au détenteur de fonds en tant que payeur pour les besoins de </w:t>
      </w:r>
      <w:r>
        <w:rPr>
          <w:b/>
          <w:i/>
          <w:highlight w:val="yellow"/>
        </w:rPr>
        <w:t>[inscrire]</w:t>
      </w:r>
      <w:r>
        <w:t xml:space="preserve"> (« </w:t>
      </w:r>
      <w:r>
        <w:rPr>
          <w:b/>
        </w:rPr>
        <w:t>projet</w:t>
      </w:r>
      <w:r>
        <w:t> »);</w:t>
      </w:r>
    </w:p>
    <w:p w14:paraId="10310999" w14:textId="77777777" w:rsidR="00BC007E" w:rsidRPr="00B31835" w:rsidRDefault="00B31835" w:rsidP="00E26071">
      <w:pPr>
        <w:pStyle w:val="OHHpara"/>
        <w:numPr>
          <w:ilvl w:val="0"/>
          <w:numId w:val="22"/>
        </w:numPr>
      </w:pPr>
      <w:r>
        <w:t>Le détenteur de fonds est tenu, en vertu de l</w:t>
      </w:r>
      <w:r w:rsidR="00936EFC">
        <w:t>’</w:t>
      </w:r>
      <w:r>
        <w:t xml:space="preserve">article </w:t>
      </w:r>
      <w:r>
        <w:rPr>
          <w:b/>
          <w:i/>
          <w:highlight w:val="yellow"/>
        </w:rPr>
        <w:t>[inscrire]</w:t>
      </w:r>
      <w:r>
        <w:t xml:space="preserve"> de l</w:t>
      </w:r>
      <w:r w:rsidR="00936EFC">
        <w:t>’</w:t>
      </w:r>
      <w:r>
        <w:t>APT, d</w:t>
      </w:r>
      <w:r w:rsidR="00936EFC">
        <w:t>’</w:t>
      </w:r>
      <w:r>
        <w:t>indemniser le Ministère à l</w:t>
      </w:r>
      <w:r w:rsidR="00936EFC">
        <w:t>’</w:t>
      </w:r>
      <w:r>
        <w:t>égard de certaines réclamations;</w:t>
      </w:r>
    </w:p>
    <w:p w14:paraId="4449F3B2" w14:textId="77777777" w:rsidR="00BC007E" w:rsidRPr="00B31835" w:rsidRDefault="00B31835" w:rsidP="00E26071">
      <w:pPr>
        <w:pStyle w:val="OHHpara"/>
        <w:numPr>
          <w:ilvl w:val="0"/>
          <w:numId w:val="22"/>
        </w:numPr>
      </w:pPr>
      <w:r>
        <w:lastRenderedPageBreak/>
        <w:t>Les membres de l</w:t>
      </w:r>
      <w:r w:rsidR="00936EFC">
        <w:t>’</w:t>
      </w:r>
      <w:r>
        <w:t>équipe ont convenu d</w:t>
      </w:r>
      <w:r w:rsidR="00936EFC">
        <w:t>’</w:t>
      </w:r>
      <w:r>
        <w:t>indemniser le détenteur de fonds conformément aux conditions de la présente entente et sous réserve de celles-ci.</w:t>
      </w:r>
    </w:p>
    <w:p w14:paraId="6416C795" w14:textId="77777777" w:rsidR="00BC007E" w:rsidRPr="00B31835" w:rsidRDefault="00B31835" w:rsidP="00AC55A7">
      <w:pPr>
        <w:pStyle w:val="OHHpara"/>
        <w:keepNext/>
        <w:keepLines/>
      </w:pPr>
      <w:r>
        <w:rPr>
          <w:b/>
        </w:rPr>
        <w:t>PAR CONSÉQUENT</w:t>
      </w:r>
      <w:r>
        <w:t>, compte tenu de ce qui précède, les parties conviennent de ce qui suit :</w:t>
      </w:r>
    </w:p>
    <w:p w14:paraId="58F389C0" w14:textId="77777777" w:rsidR="00DB038B" w:rsidRPr="00B31835" w:rsidRDefault="00B31835">
      <w:pPr>
        <w:pStyle w:val="ArticleL1"/>
      </w:pPr>
      <w:r>
        <w:br/>
        <w:t>Obligations du détenteur de fonds</w:t>
      </w:r>
    </w:p>
    <w:p w14:paraId="11F876CD" w14:textId="77777777" w:rsidR="00DB038B" w:rsidRPr="00B31835" w:rsidRDefault="00B31835" w:rsidP="00DB038B">
      <w:pPr>
        <w:pStyle w:val="ArticleL2"/>
        <w:rPr>
          <w:b w:val="0"/>
        </w:rPr>
      </w:pPr>
      <w:r>
        <w:rPr>
          <w:b w:val="0"/>
        </w:rPr>
        <w:t>Le détenteur de fonds recevra, détiendra et décaissera les fonds du Ministère avancés dans le cadre de l</w:t>
      </w:r>
      <w:r w:rsidR="00936EFC">
        <w:rPr>
          <w:b w:val="0"/>
        </w:rPr>
        <w:t>’</w:t>
      </w:r>
      <w:r>
        <w:rPr>
          <w:b w:val="0"/>
        </w:rPr>
        <w:t>APT conformément aux directives du conseil de collaboration seulement.</w:t>
      </w:r>
    </w:p>
    <w:p w14:paraId="03F2471B" w14:textId="77777777" w:rsidR="008806AD" w:rsidRPr="00B31835" w:rsidRDefault="00B31835" w:rsidP="008806AD">
      <w:pPr>
        <w:pStyle w:val="ArticleL2"/>
        <w:rPr>
          <w:b w:val="0"/>
          <w:bCs w:val="0"/>
        </w:rPr>
      </w:pPr>
      <w:r>
        <w:rPr>
          <w:b w:val="0"/>
          <w:bCs w:val="0"/>
        </w:rPr>
        <w:t>Le détenteur de fonds reconnaît que le conseil de collaboration peut lui demander de recevoir, de détenir et de décaisser d</w:t>
      </w:r>
      <w:r w:rsidR="00936EFC">
        <w:rPr>
          <w:b w:val="0"/>
          <w:bCs w:val="0"/>
        </w:rPr>
        <w:t>’</w:t>
      </w:r>
      <w:r>
        <w:rPr>
          <w:b w:val="0"/>
          <w:bCs w:val="0"/>
        </w:rPr>
        <w:t>autres fonds du Ministère et, si tel est le cas, il recevra, détiendra et décaissera tout autre fonds du Ministère conformément aux directives du conseil de collaboration.</w:t>
      </w:r>
    </w:p>
    <w:p w14:paraId="009E85DE" w14:textId="77777777" w:rsidR="008806AD" w:rsidRPr="00B31835" w:rsidRDefault="00B31835" w:rsidP="00A641CF">
      <w:pPr>
        <w:pStyle w:val="ArticleL2"/>
        <w:rPr>
          <w:b w:val="0"/>
          <w:bCs w:val="0"/>
        </w:rPr>
      </w:pPr>
      <w:r>
        <w:rPr>
          <w:b w:val="0"/>
          <w:bCs w:val="0"/>
        </w:rPr>
        <w:t>Le détenteur de fonds reconnaît que le conseil de collaboration peut lui demander de recevoir, de détenir et de décaisser des fonds communs et, si tel est le cas, il recevra, détiendra et décaissera lesdits fonds communs conformément aux directives du conseil de collaboration.</w:t>
      </w:r>
    </w:p>
    <w:p w14:paraId="5C824BD2" w14:textId="77777777" w:rsidR="00E26071" w:rsidRPr="00B31835" w:rsidRDefault="00B31835" w:rsidP="00E26071">
      <w:pPr>
        <w:pStyle w:val="ArticleL2"/>
        <w:rPr>
          <w:b w:val="0"/>
        </w:rPr>
      </w:pPr>
      <w:r>
        <w:rPr>
          <w:b w:val="0"/>
        </w:rPr>
        <w:t>Les membres de l</w:t>
      </w:r>
      <w:r w:rsidR="00936EFC">
        <w:rPr>
          <w:b w:val="0"/>
        </w:rPr>
        <w:t>’</w:t>
      </w:r>
      <w:r>
        <w:rPr>
          <w:b w:val="0"/>
        </w:rPr>
        <w:t>équipe reconnaissent que le détenteur de fonds agit uniquement à titre de mandant et de payeur au nom de l</w:t>
      </w:r>
      <w:r w:rsidR="00936EFC">
        <w:rPr>
          <w:b w:val="0"/>
        </w:rPr>
        <w:t>’</w:t>
      </w:r>
      <w:r>
        <w:rPr>
          <w:b w:val="0"/>
        </w:rPr>
        <w:t>ÉSO-X, et que le détenteur de fonds est en droit de se fier entièrement aux directives du conseil de collaboration et n</w:t>
      </w:r>
      <w:r w:rsidR="00936EFC">
        <w:rPr>
          <w:b w:val="0"/>
        </w:rPr>
        <w:t>’</w:t>
      </w:r>
      <w:r>
        <w:rPr>
          <w:b w:val="0"/>
        </w:rPr>
        <w:t>est pas tenu de s</w:t>
      </w:r>
      <w:r w:rsidR="00936EFC">
        <w:rPr>
          <w:b w:val="0"/>
        </w:rPr>
        <w:t>’</w:t>
      </w:r>
      <w:r>
        <w:rPr>
          <w:b w:val="0"/>
        </w:rPr>
        <w:t>assurer que ces directives sont conformes aux modalités ou conditions aux termes desquelles les fonds du Ministère ou les fonds communs ont été mis à la disposition des membres de l</w:t>
      </w:r>
      <w:r w:rsidR="00936EFC">
        <w:rPr>
          <w:b w:val="0"/>
        </w:rPr>
        <w:t>’</w:t>
      </w:r>
      <w:r>
        <w:rPr>
          <w:b w:val="0"/>
        </w:rPr>
        <w:t>équipe et de l</w:t>
      </w:r>
      <w:r w:rsidR="00936EFC">
        <w:rPr>
          <w:b w:val="0"/>
        </w:rPr>
        <w:t>’</w:t>
      </w:r>
      <w:r>
        <w:rPr>
          <w:b w:val="0"/>
        </w:rPr>
        <w:t>ÉSO-X.</w:t>
      </w:r>
    </w:p>
    <w:p w14:paraId="0DA39DA5" w14:textId="77777777" w:rsidR="00E26071" w:rsidRPr="00B31835" w:rsidRDefault="00B31835" w:rsidP="00E26071">
      <w:pPr>
        <w:pStyle w:val="ArticleL2"/>
        <w:rPr>
          <w:b w:val="0"/>
        </w:rPr>
      </w:pPr>
      <w:r>
        <w:rPr>
          <w:b w:val="0"/>
        </w:rPr>
        <w:t>Le détenteur de fonds et les membres de l</w:t>
      </w:r>
      <w:r w:rsidR="00936EFC">
        <w:rPr>
          <w:b w:val="0"/>
        </w:rPr>
        <w:t>’</w:t>
      </w:r>
      <w:r>
        <w:rPr>
          <w:b w:val="0"/>
        </w:rPr>
        <w:t>équipe reconnaissent l</w:t>
      </w:r>
      <w:r w:rsidR="00936EFC">
        <w:rPr>
          <w:b w:val="0"/>
        </w:rPr>
        <w:t>’</w:t>
      </w:r>
      <w:r>
        <w:rPr>
          <w:b w:val="0"/>
        </w:rPr>
        <w:t>exigence du ministère de la Santé selon laquelle l</w:t>
      </w:r>
      <w:r w:rsidR="00936EFC">
        <w:rPr>
          <w:b w:val="0"/>
        </w:rPr>
        <w:t>’</w:t>
      </w:r>
      <w:r>
        <w:rPr>
          <w:b w:val="0"/>
        </w:rPr>
        <w:t>ÉSO-X doit faire preuve d</w:t>
      </w:r>
      <w:r w:rsidR="00936EFC">
        <w:rPr>
          <w:b w:val="0"/>
        </w:rPr>
        <w:t>’</w:t>
      </w:r>
      <w:r>
        <w:rPr>
          <w:b w:val="0"/>
        </w:rPr>
        <w:t xml:space="preserve">une </w:t>
      </w:r>
      <w:r w:rsidR="00C51DA0">
        <w:rPr>
          <w:b w:val="0"/>
        </w:rPr>
        <w:t xml:space="preserve">saine </w:t>
      </w:r>
      <w:r>
        <w:rPr>
          <w:b w:val="0"/>
        </w:rPr>
        <w:t>gestion financière. Le gestionnaire de fonds doit tenir les dossiers relatifs aux fonds du Ministère et aux fonds communs que le conseil de collaboration peut raisonnablement exiger et les lui fournir pour s</w:t>
      </w:r>
      <w:r w:rsidR="00936EFC">
        <w:rPr>
          <w:b w:val="0"/>
        </w:rPr>
        <w:t>’</w:t>
      </w:r>
      <w:r>
        <w:rPr>
          <w:b w:val="0"/>
        </w:rPr>
        <w:t>assurer que les obligations de déclaration en vertu de l</w:t>
      </w:r>
      <w:r w:rsidR="00936EFC">
        <w:rPr>
          <w:b w:val="0"/>
        </w:rPr>
        <w:t>’</w:t>
      </w:r>
      <w:r>
        <w:rPr>
          <w:b w:val="0"/>
        </w:rPr>
        <w:t>APT ou de toute autre entente avec un tiers sont respectées et pour permettre au conseil de collaboration de rendre compte aux membres de l</w:t>
      </w:r>
      <w:r w:rsidR="00936EFC">
        <w:rPr>
          <w:b w:val="0"/>
        </w:rPr>
        <w:t>’</w:t>
      </w:r>
      <w:r>
        <w:rPr>
          <w:b w:val="0"/>
        </w:rPr>
        <w:t>équipe des fonds du Ministère et des fonds communs.</w:t>
      </w:r>
    </w:p>
    <w:p w14:paraId="58E38687" w14:textId="77777777" w:rsidR="00BC007E" w:rsidRPr="00B31835" w:rsidRDefault="00B31835">
      <w:pPr>
        <w:pStyle w:val="ArticleL1"/>
      </w:pPr>
      <w:r>
        <w:br/>
        <w:t>Indemnisation du détenteur de fonds</w:t>
      </w:r>
    </w:p>
    <w:p w14:paraId="2BACBCBD" w14:textId="77777777" w:rsidR="00BC007E" w:rsidRPr="00B31835" w:rsidRDefault="00B31835">
      <w:pPr>
        <w:pStyle w:val="ArticleL2"/>
        <w:keepNext w:val="0"/>
        <w:rPr>
          <w:b w:val="0"/>
        </w:rPr>
      </w:pPr>
      <w:bookmarkStart w:id="0" w:name="_Ref36543023"/>
      <w:r>
        <w:rPr>
          <w:b w:val="0"/>
        </w:rPr>
        <w:t>Sous réserve de l</w:t>
      </w:r>
      <w:r w:rsidR="00936EFC">
        <w:rPr>
          <w:b w:val="0"/>
        </w:rPr>
        <w:t>’</w:t>
      </w:r>
      <w:r>
        <w:rPr>
          <w:b w:val="0"/>
        </w:rPr>
        <w:t>article </w:t>
      </w:r>
      <w:r w:rsidR="00DD2946" w:rsidRPr="00B31835">
        <w:rPr>
          <w:b w:val="0"/>
        </w:rPr>
        <w:fldChar w:fldCharType="begin"/>
      </w:r>
      <w:r w:rsidR="00DD2946" w:rsidRPr="00B31835">
        <w:rPr>
          <w:b w:val="0"/>
        </w:rPr>
        <w:instrText xml:space="preserve"> REF _Ref36542987 \r \h </w:instrText>
      </w:r>
      <w:r w:rsidR="00DD2946" w:rsidRPr="00B31835">
        <w:rPr>
          <w:b w:val="0"/>
        </w:rPr>
      </w:r>
      <w:r w:rsidR="00DD2946" w:rsidRPr="00B31835">
        <w:rPr>
          <w:b w:val="0"/>
        </w:rPr>
        <w:fldChar w:fldCharType="separate"/>
      </w:r>
      <w:r w:rsidR="00DD2946" w:rsidRPr="00B31835">
        <w:rPr>
          <w:b w:val="0"/>
        </w:rPr>
        <w:t>2.4</w:t>
      </w:r>
      <w:r w:rsidR="00DD2946" w:rsidRPr="00B31835">
        <w:rPr>
          <w:b w:val="0"/>
        </w:rPr>
        <w:fldChar w:fldCharType="end"/>
      </w:r>
      <w:r>
        <w:rPr>
          <w:b w:val="0"/>
        </w:rPr>
        <w:t>, les membres de l</w:t>
      </w:r>
      <w:r w:rsidR="00936EFC">
        <w:rPr>
          <w:b w:val="0"/>
        </w:rPr>
        <w:t>’</w:t>
      </w:r>
      <w:r>
        <w:rPr>
          <w:b w:val="0"/>
        </w:rPr>
        <w:t>équipe (autres que le détenteur de fonds) conviennent d</w:t>
      </w:r>
      <w:r w:rsidR="00936EFC">
        <w:rPr>
          <w:b w:val="0"/>
        </w:rPr>
        <w:t>’</w:t>
      </w:r>
      <w:r>
        <w:rPr>
          <w:b w:val="0"/>
        </w:rPr>
        <w:t xml:space="preserve">indemniser et de dégager de toute responsabilité, conjointement et solidairement, le détenteur de fonds, ses dirigeants, administrateurs, employés, mandataires, anciens dirigeants, administrateurs, employés, mandataires et tous leurs héritiers, exécuteurs testamentaires, administrateurs, représentants légaux personnels, </w:t>
      </w:r>
      <w:r>
        <w:rPr>
          <w:b w:val="0"/>
        </w:rPr>
        <w:lastRenderedPageBreak/>
        <w:t>successeurs et ayants droit respectifs (« </w:t>
      </w:r>
      <w:r>
        <w:t>parties indemnisées du détenteur de fonds</w:t>
      </w:r>
      <w:r>
        <w:rPr>
          <w:b w:val="0"/>
        </w:rPr>
        <w:t> ») à l</w:t>
      </w:r>
      <w:r w:rsidR="00936EFC">
        <w:rPr>
          <w:b w:val="0"/>
        </w:rPr>
        <w:t>’</w:t>
      </w:r>
      <w:r>
        <w:rPr>
          <w:b w:val="0"/>
        </w:rPr>
        <w:t>égard de toute responsabilité ou de toute dépense engagée</w:t>
      </w:r>
      <w:r w:rsidR="00C51DA0">
        <w:rPr>
          <w:b w:val="0"/>
        </w:rPr>
        <w:t>s</w:t>
      </w:r>
      <w:r>
        <w:rPr>
          <w:b w:val="0"/>
        </w:rPr>
        <w:t xml:space="preserve"> (y compris les frais juridiques, les frais d</w:t>
      </w:r>
      <w:r w:rsidR="00936EFC">
        <w:rPr>
          <w:b w:val="0"/>
        </w:rPr>
        <w:t>’</w:t>
      </w:r>
      <w:r>
        <w:rPr>
          <w:b w:val="0"/>
        </w:rPr>
        <w:t>expertise et les frais de consultation), de toute perte, de tout coût ou de tout dommage subis, de toute cause d</w:t>
      </w:r>
      <w:r w:rsidR="00936EFC">
        <w:rPr>
          <w:b w:val="0"/>
        </w:rPr>
        <w:t>’</w:t>
      </w:r>
      <w:r>
        <w:rPr>
          <w:b w:val="0"/>
        </w:rPr>
        <w:t>action, action, réclamation ou demande faites, ou de tout procès ou toute autre procédure intentés (collectivement, « </w:t>
      </w:r>
      <w:r>
        <w:t>réclamations</w:t>
      </w:r>
      <w:r>
        <w:rPr>
          <w:b w:val="0"/>
        </w:rPr>
        <w:t> »), y compris les dommages corporels de tiers (notamment le décès), les dommages corporels et les dommages matériels, qui seront le fait de quiconque et seront attribuables de quelque manière que ce soit à un acte ou à une omission des parties indemnisées du détenteur de fonds dans le cadre de l</w:t>
      </w:r>
      <w:r w:rsidR="00936EFC">
        <w:rPr>
          <w:b w:val="0"/>
        </w:rPr>
        <w:t>’</w:t>
      </w:r>
      <w:r>
        <w:rPr>
          <w:b w:val="0"/>
        </w:rPr>
        <w:t>exécution des obligations du détenteur de fonds au titre de la présente entente, aux termes de l</w:t>
      </w:r>
      <w:r w:rsidR="00936EFC">
        <w:rPr>
          <w:b w:val="0"/>
        </w:rPr>
        <w:t>’</w:t>
      </w:r>
      <w:r>
        <w:rPr>
          <w:b w:val="0"/>
        </w:rPr>
        <w:t>APT ou par ailleurs en rapport avec l</w:t>
      </w:r>
      <w:r w:rsidR="00936EFC">
        <w:rPr>
          <w:b w:val="0"/>
        </w:rPr>
        <w:t>’</w:t>
      </w:r>
      <w:r>
        <w:rPr>
          <w:b w:val="0"/>
        </w:rPr>
        <w:t>APT ou tout autre accord que le détenteur de fonds conclut à la demande et sur instruction du conseil de collaboration en ce qui concerne les fonds du Ministère ou les fonds communs, à l</w:t>
      </w:r>
      <w:r w:rsidR="00936EFC">
        <w:rPr>
          <w:b w:val="0"/>
        </w:rPr>
        <w:t>’</w:t>
      </w:r>
      <w:r>
        <w:rPr>
          <w:b w:val="0"/>
        </w:rPr>
        <w:t>exception de tout acte ou de toute omission qui implique une fraude ou une inconduite volontaire de la part des parties indemnisées du détenteur de fonds.</w:t>
      </w:r>
      <w:bookmarkEnd w:id="0"/>
    </w:p>
    <w:p w14:paraId="1CD17461" w14:textId="77777777" w:rsidR="00BC007E" w:rsidRPr="00B31835" w:rsidRDefault="00B31835" w:rsidP="00850F99">
      <w:pPr>
        <w:pStyle w:val="ArticleL2"/>
        <w:keepLines/>
        <w:rPr>
          <w:b w:val="0"/>
        </w:rPr>
      </w:pPr>
      <w:bookmarkStart w:id="1" w:name="_Ref36543171"/>
      <w:r>
        <w:rPr>
          <w:b w:val="0"/>
        </w:rPr>
        <w:t>Sous réserve de l</w:t>
      </w:r>
      <w:r w:rsidR="00936EFC">
        <w:rPr>
          <w:b w:val="0"/>
        </w:rPr>
        <w:t>’</w:t>
      </w:r>
      <w:r>
        <w:rPr>
          <w:b w:val="0"/>
        </w:rPr>
        <w:t>article </w:t>
      </w:r>
      <w:r w:rsidR="00DD2946" w:rsidRPr="00B31835">
        <w:rPr>
          <w:b w:val="0"/>
        </w:rPr>
        <w:fldChar w:fldCharType="begin"/>
      </w:r>
      <w:r w:rsidR="00DD2946" w:rsidRPr="00B31835">
        <w:rPr>
          <w:b w:val="0"/>
        </w:rPr>
        <w:instrText xml:space="preserve"> REF _Ref36542987 \r \h </w:instrText>
      </w:r>
      <w:r w:rsidR="00DD2946" w:rsidRPr="00B31835">
        <w:rPr>
          <w:b w:val="0"/>
        </w:rPr>
      </w:r>
      <w:r w:rsidR="00DD2946" w:rsidRPr="00B31835">
        <w:rPr>
          <w:b w:val="0"/>
        </w:rPr>
        <w:fldChar w:fldCharType="separate"/>
      </w:r>
      <w:r w:rsidR="00DD2946" w:rsidRPr="00B31835">
        <w:rPr>
          <w:b w:val="0"/>
        </w:rPr>
        <w:t>2.4</w:t>
      </w:r>
      <w:r w:rsidR="00DD2946" w:rsidRPr="00B31835">
        <w:rPr>
          <w:b w:val="0"/>
        </w:rPr>
        <w:fldChar w:fldCharType="end"/>
      </w:r>
      <w:r>
        <w:rPr>
          <w:b w:val="0"/>
        </w:rPr>
        <w:t>, les membres de l</w:t>
      </w:r>
      <w:r w:rsidR="00936EFC">
        <w:rPr>
          <w:b w:val="0"/>
        </w:rPr>
        <w:t>’</w:t>
      </w:r>
      <w:r>
        <w:rPr>
          <w:b w:val="0"/>
        </w:rPr>
        <w:t>équipe (autres que le détenteur de fonds) conviennent d</w:t>
      </w:r>
      <w:r w:rsidR="00936EFC">
        <w:rPr>
          <w:b w:val="0"/>
        </w:rPr>
        <w:t>’</w:t>
      </w:r>
      <w:r>
        <w:rPr>
          <w:b w:val="0"/>
        </w:rPr>
        <w:t>indemniser et de dégager de toute responsabilité, conjointement et solidairement, les parties indemnisées du détenteur de fonds à l</w:t>
      </w:r>
      <w:r w:rsidR="00936EFC">
        <w:rPr>
          <w:b w:val="0"/>
        </w:rPr>
        <w:t>’</w:t>
      </w:r>
      <w:r>
        <w:rPr>
          <w:b w:val="0"/>
        </w:rPr>
        <w:t>égard de tout dommage indirect ou particulier ou toute perte d</w:t>
      </w:r>
      <w:r w:rsidR="00936EFC">
        <w:rPr>
          <w:b w:val="0"/>
        </w:rPr>
        <w:t>’</w:t>
      </w:r>
      <w:r>
        <w:rPr>
          <w:b w:val="0"/>
        </w:rPr>
        <w:t>utilisation, de revenu ou de profit subis par toute personne, entité ou organisation, revendiqués ou résultant de ces réclamations, à l</w:t>
      </w:r>
      <w:r w:rsidR="00936EFC">
        <w:rPr>
          <w:b w:val="0"/>
        </w:rPr>
        <w:t>’</w:t>
      </w:r>
      <w:r>
        <w:rPr>
          <w:b w:val="0"/>
        </w:rPr>
        <w:t>exception de tout acte ou de toute omission impliquant une fraude ou une inconduite volontaire de la part des parties indemnisées du détenteur de fonds.</w:t>
      </w:r>
      <w:bookmarkEnd w:id="1"/>
    </w:p>
    <w:p w14:paraId="2A6A7F49" w14:textId="77777777" w:rsidR="008C351F" w:rsidRPr="00B31835" w:rsidRDefault="00B31835" w:rsidP="00C2120B">
      <w:pPr>
        <w:pStyle w:val="ArticleL2"/>
        <w:keepNext w:val="0"/>
        <w:rPr>
          <w:b w:val="0"/>
        </w:rPr>
      </w:pPr>
      <w:r>
        <w:rPr>
          <w:b w:val="0"/>
        </w:rPr>
        <w:t>Chaque membre de l</w:t>
      </w:r>
      <w:r w:rsidR="00936EFC">
        <w:rPr>
          <w:b w:val="0"/>
        </w:rPr>
        <w:t>’</w:t>
      </w:r>
      <w:r>
        <w:rPr>
          <w:b w:val="0"/>
        </w:rPr>
        <w:t>équipe (autre que le détenteur de fonds) convient que, bien qu</w:t>
      </w:r>
      <w:r w:rsidR="00936EFC">
        <w:rPr>
          <w:b w:val="0"/>
        </w:rPr>
        <w:t>’</w:t>
      </w:r>
      <w:r>
        <w:rPr>
          <w:b w:val="0"/>
        </w:rPr>
        <w:t>ils aient une obligation conjointe et solidaire envers les parties indemnisées du détenteur de fonds aux termes de l</w:t>
      </w:r>
      <w:r w:rsidR="00936EFC">
        <w:rPr>
          <w:b w:val="0"/>
        </w:rPr>
        <w:t>’</w:t>
      </w:r>
      <w:r>
        <w:rPr>
          <w:b w:val="0"/>
        </w:rPr>
        <w:t>article </w:t>
      </w:r>
      <w:r w:rsidR="00DD2946" w:rsidRPr="00B31835">
        <w:rPr>
          <w:b w:val="0"/>
        </w:rPr>
        <w:fldChar w:fldCharType="begin"/>
      </w:r>
      <w:r w:rsidR="00DD2946" w:rsidRPr="00B31835">
        <w:rPr>
          <w:b w:val="0"/>
        </w:rPr>
        <w:instrText xml:space="preserve"> REF _Ref36543023 \r \h </w:instrText>
      </w:r>
      <w:r w:rsidR="00DD2946" w:rsidRPr="00B31835">
        <w:rPr>
          <w:b w:val="0"/>
        </w:rPr>
      </w:r>
      <w:r w:rsidR="00DD2946" w:rsidRPr="00B31835">
        <w:rPr>
          <w:b w:val="0"/>
        </w:rPr>
        <w:fldChar w:fldCharType="separate"/>
      </w:r>
      <w:r w:rsidR="00DD2946" w:rsidRPr="00B31835">
        <w:rPr>
          <w:b w:val="0"/>
        </w:rPr>
        <w:t>2.1</w:t>
      </w:r>
      <w:r w:rsidR="00DD2946" w:rsidRPr="00B31835">
        <w:rPr>
          <w:b w:val="0"/>
        </w:rPr>
        <w:fldChar w:fldCharType="end"/>
      </w:r>
      <w:r>
        <w:rPr>
          <w:b w:val="0"/>
        </w:rPr>
        <w:t>, entre eux, ils seront conjointement et solidairement responsables du paiement à tout membre de l</w:t>
      </w:r>
      <w:r w:rsidR="00936EFC">
        <w:rPr>
          <w:b w:val="0"/>
        </w:rPr>
        <w:t>’</w:t>
      </w:r>
      <w:r>
        <w:rPr>
          <w:b w:val="0"/>
        </w:rPr>
        <w:t>équipe des montants que ledit membre a versés aux termes de l</w:t>
      </w:r>
      <w:r w:rsidR="00936EFC">
        <w:rPr>
          <w:b w:val="0"/>
        </w:rPr>
        <w:t>’</w:t>
      </w:r>
      <w:r>
        <w:rPr>
          <w:b w:val="0"/>
        </w:rPr>
        <w:t>article </w:t>
      </w:r>
      <w:r w:rsidR="007528F6" w:rsidRPr="00B31835">
        <w:rPr>
          <w:b w:val="0"/>
        </w:rPr>
        <w:fldChar w:fldCharType="begin"/>
      </w:r>
      <w:r w:rsidR="007528F6" w:rsidRPr="00B31835">
        <w:rPr>
          <w:b w:val="0"/>
        </w:rPr>
        <w:instrText xml:space="preserve"> REF _Ref36543023 \r \h </w:instrText>
      </w:r>
      <w:r w:rsidR="007528F6" w:rsidRPr="00B31835">
        <w:rPr>
          <w:b w:val="0"/>
        </w:rPr>
      </w:r>
      <w:r w:rsidR="007528F6" w:rsidRPr="00B31835">
        <w:rPr>
          <w:b w:val="0"/>
        </w:rPr>
        <w:fldChar w:fldCharType="separate"/>
      </w:r>
      <w:r w:rsidR="007528F6" w:rsidRPr="00B31835">
        <w:rPr>
          <w:b w:val="0"/>
        </w:rPr>
        <w:t>2.1</w:t>
      </w:r>
      <w:r w:rsidR="007528F6" w:rsidRPr="00B31835">
        <w:rPr>
          <w:b w:val="0"/>
        </w:rPr>
        <w:fldChar w:fldCharType="end"/>
      </w:r>
      <w:r>
        <w:rPr>
          <w:b w:val="0"/>
        </w:rPr>
        <w:t xml:space="preserve"> ou </w:t>
      </w:r>
      <w:r w:rsidR="007528F6" w:rsidRPr="00B31835">
        <w:rPr>
          <w:b w:val="0"/>
        </w:rPr>
        <w:fldChar w:fldCharType="begin"/>
      </w:r>
      <w:r w:rsidR="007528F6" w:rsidRPr="00B31835">
        <w:rPr>
          <w:b w:val="0"/>
        </w:rPr>
        <w:instrText xml:space="preserve"> REF _Ref36543171 \r \h </w:instrText>
      </w:r>
      <w:r w:rsidR="007528F6" w:rsidRPr="00B31835">
        <w:rPr>
          <w:b w:val="0"/>
        </w:rPr>
      </w:r>
      <w:r w:rsidR="007528F6" w:rsidRPr="00B31835">
        <w:rPr>
          <w:b w:val="0"/>
        </w:rPr>
        <w:fldChar w:fldCharType="separate"/>
      </w:r>
      <w:r w:rsidR="007528F6" w:rsidRPr="00B31835">
        <w:rPr>
          <w:b w:val="0"/>
        </w:rPr>
        <w:t>2.2</w:t>
      </w:r>
      <w:r w:rsidR="007528F6" w:rsidRPr="00B31835">
        <w:rPr>
          <w:b w:val="0"/>
        </w:rPr>
        <w:fldChar w:fldCharType="end"/>
      </w:r>
      <w:r w:rsidR="00C22AFF">
        <w:rPr>
          <w:b w:val="0"/>
        </w:rPr>
        <w:t xml:space="preserve"> </w:t>
      </w:r>
      <w:r>
        <w:rPr>
          <w:b w:val="0"/>
        </w:rPr>
        <w:t>ou, selon les dispositions du présent article, des montants qui dépassent la part proportionnelle dudit membre de l</w:t>
      </w:r>
      <w:r w:rsidR="00936EFC">
        <w:rPr>
          <w:b w:val="0"/>
        </w:rPr>
        <w:t>’</w:t>
      </w:r>
      <w:r>
        <w:rPr>
          <w:b w:val="0"/>
        </w:rPr>
        <w:t>équipe à l</w:t>
      </w:r>
      <w:r w:rsidR="00936EFC">
        <w:rPr>
          <w:b w:val="0"/>
        </w:rPr>
        <w:t>’</w:t>
      </w:r>
      <w:r>
        <w:rPr>
          <w:b w:val="0"/>
        </w:rPr>
        <w:t>égard d</w:t>
      </w:r>
      <w:r w:rsidR="00936EFC">
        <w:rPr>
          <w:b w:val="0"/>
        </w:rPr>
        <w:t>’</w:t>
      </w:r>
      <w:r>
        <w:rPr>
          <w:b w:val="0"/>
        </w:rPr>
        <w:t>une réclamation liée à tout fonds du Ministère ou fonds commun, comme décrit à l</w:t>
      </w:r>
      <w:r w:rsidR="00936EFC">
        <w:rPr>
          <w:b w:val="0"/>
        </w:rPr>
        <w:t>’</w:t>
      </w:r>
      <w:r>
        <w:rPr>
          <w:b w:val="0"/>
        </w:rPr>
        <w:t>annexe A, l</w:t>
      </w:r>
      <w:r w:rsidR="00936EFC">
        <w:rPr>
          <w:b w:val="0"/>
        </w:rPr>
        <w:t>’</w:t>
      </w:r>
      <w:r>
        <w:rPr>
          <w:b w:val="0"/>
        </w:rPr>
        <w:t>intention de la présente entente étant que tous les membres de l</w:t>
      </w:r>
      <w:r w:rsidR="00936EFC">
        <w:rPr>
          <w:b w:val="0"/>
        </w:rPr>
        <w:t>’</w:t>
      </w:r>
      <w:r>
        <w:rPr>
          <w:b w:val="0"/>
        </w:rPr>
        <w:t>équipe soient responsables de leur part proportionnelle respective des montants payés aux parties indemnisées du détenteur de fonds aux termes des articles </w:t>
      </w:r>
      <w:r w:rsidR="00DD2946" w:rsidRPr="00B31835">
        <w:rPr>
          <w:b w:val="0"/>
        </w:rPr>
        <w:fldChar w:fldCharType="begin"/>
      </w:r>
      <w:r w:rsidR="00DD2946" w:rsidRPr="00B31835">
        <w:rPr>
          <w:b w:val="0"/>
        </w:rPr>
        <w:instrText xml:space="preserve"> REF _Ref36543023 \r \h </w:instrText>
      </w:r>
      <w:r w:rsidR="00DD2946" w:rsidRPr="00B31835">
        <w:rPr>
          <w:b w:val="0"/>
        </w:rPr>
      </w:r>
      <w:r w:rsidR="00DD2946" w:rsidRPr="00B31835">
        <w:rPr>
          <w:b w:val="0"/>
        </w:rPr>
        <w:fldChar w:fldCharType="separate"/>
      </w:r>
      <w:r w:rsidR="00DD2946" w:rsidRPr="00B31835">
        <w:rPr>
          <w:b w:val="0"/>
        </w:rPr>
        <w:t>2.1</w:t>
      </w:r>
      <w:r w:rsidR="00DD2946" w:rsidRPr="00B31835">
        <w:rPr>
          <w:b w:val="0"/>
        </w:rPr>
        <w:fldChar w:fldCharType="end"/>
      </w:r>
      <w:r>
        <w:rPr>
          <w:b w:val="0"/>
        </w:rPr>
        <w:t xml:space="preserve"> et </w:t>
      </w:r>
      <w:r w:rsidR="00DD2946" w:rsidRPr="00B31835">
        <w:rPr>
          <w:b w:val="0"/>
        </w:rPr>
        <w:fldChar w:fldCharType="begin"/>
      </w:r>
      <w:r w:rsidR="00DD2946" w:rsidRPr="00B31835">
        <w:rPr>
          <w:b w:val="0"/>
        </w:rPr>
        <w:instrText xml:space="preserve"> REF _Ref36543171 \r \h </w:instrText>
      </w:r>
      <w:r w:rsidR="00DD2946" w:rsidRPr="00B31835">
        <w:rPr>
          <w:b w:val="0"/>
        </w:rPr>
      </w:r>
      <w:r w:rsidR="00DD2946" w:rsidRPr="00B31835">
        <w:rPr>
          <w:b w:val="0"/>
        </w:rPr>
        <w:fldChar w:fldCharType="separate"/>
      </w:r>
      <w:r w:rsidR="00DD2946" w:rsidRPr="00B31835">
        <w:rPr>
          <w:b w:val="0"/>
        </w:rPr>
        <w:t>2.2</w:t>
      </w:r>
      <w:r w:rsidR="00DD2946" w:rsidRPr="00B31835">
        <w:rPr>
          <w:b w:val="0"/>
        </w:rPr>
        <w:fldChar w:fldCharType="end"/>
      </w:r>
      <w:r w:rsidR="00DB7C0D">
        <w:rPr>
          <w:b w:val="0"/>
        </w:rPr>
        <w:t xml:space="preserve">. </w:t>
      </w:r>
      <w:r>
        <w:rPr>
          <w:b w:val="0"/>
        </w:rPr>
        <w:t>La part proportionnelle prévue à l</w:t>
      </w:r>
      <w:r w:rsidR="00936EFC">
        <w:rPr>
          <w:b w:val="0"/>
        </w:rPr>
        <w:t>’</w:t>
      </w:r>
      <w:r>
        <w:rPr>
          <w:b w:val="0"/>
        </w:rPr>
        <w:t>annexe A peut être déterminée à l</w:t>
      </w:r>
      <w:r w:rsidR="00936EFC">
        <w:rPr>
          <w:b w:val="0"/>
        </w:rPr>
        <w:t>’</w:t>
      </w:r>
      <w:r>
        <w:rPr>
          <w:b w:val="0"/>
        </w:rPr>
        <w:t xml:space="preserve">occasion par le conseil de collaboration </w:t>
      </w:r>
      <w:r>
        <w:rPr>
          <w:i/>
          <w:highlight w:val="yellow"/>
        </w:rPr>
        <w:t>[avec l</w:t>
      </w:r>
      <w:r w:rsidR="00936EFC">
        <w:rPr>
          <w:i/>
          <w:highlight w:val="yellow"/>
        </w:rPr>
        <w:t>’</w:t>
      </w:r>
      <w:r>
        <w:rPr>
          <w:i/>
          <w:highlight w:val="yellow"/>
        </w:rPr>
        <w:t>accord des membres de l</w:t>
      </w:r>
      <w:r w:rsidR="00936EFC">
        <w:rPr>
          <w:i/>
          <w:highlight w:val="yellow"/>
        </w:rPr>
        <w:t>’</w:t>
      </w:r>
      <w:r>
        <w:rPr>
          <w:i/>
          <w:highlight w:val="yellow"/>
        </w:rPr>
        <w:t>équipe]</w:t>
      </w:r>
      <w:r>
        <w:rPr>
          <w:b w:val="0"/>
        </w:rPr>
        <w:t xml:space="preserve"> en ce qui concerne les différentes affectations des fonds du Ministère et des fonds communs.</w:t>
      </w:r>
    </w:p>
    <w:p w14:paraId="52A1E963" w14:textId="77777777" w:rsidR="008C351F" w:rsidRPr="00B31835" w:rsidRDefault="00B31835" w:rsidP="00C2120B">
      <w:pPr>
        <w:pStyle w:val="ArticleL2"/>
        <w:keepNext w:val="0"/>
        <w:rPr>
          <w:b w:val="0"/>
        </w:rPr>
      </w:pPr>
      <w:bookmarkStart w:id="2" w:name="_Ref36542987"/>
      <w:r>
        <w:rPr>
          <w:b w:val="0"/>
        </w:rPr>
        <w:t>Par souci de précision, le détenteur de fonds est également partie à la présente entente en sa qualité de membre de l</w:t>
      </w:r>
      <w:r w:rsidR="00936EFC">
        <w:rPr>
          <w:b w:val="0"/>
        </w:rPr>
        <w:t>’</w:t>
      </w:r>
      <w:r>
        <w:rPr>
          <w:b w:val="0"/>
        </w:rPr>
        <w:t>équipe et, à ce titre, il a une part proportionnelle, comme indiqué à l</w:t>
      </w:r>
      <w:r w:rsidR="00936EFC">
        <w:rPr>
          <w:b w:val="0"/>
        </w:rPr>
        <w:t>’</w:t>
      </w:r>
      <w:r>
        <w:rPr>
          <w:b w:val="0"/>
        </w:rPr>
        <w:t>annexe A, pour laquelle il ne sera pas indemnisé aux termes des articles </w:t>
      </w:r>
      <w:r w:rsidR="00982E4E" w:rsidRPr="00B31835">
        <w:rPr>
          <w:b w:val="0"/>
        </w:rPr>
        <w:fldChar w:fldCharType="begin"/>
      </w:r>
      <w:r w:rsidR="00982E4E" w:rsidRPr="00B31835">
        <w:rPr>
          <w:b w:val="0"/>
        </w:rPr>
        <w:instrText xml:space="preserve"> REF _Ref36543023 \r \h </w:instrText>
      </w:r>
      <w:r w:rsidR="00982E4E" w:rsidRPr="00B31835">
        <w:rPr>
          <w:b w:val="0"/>
        </w:rPr>
      </w:r>
      <w:r w:rsidR="00982E4E" w:rsidRPr="00B31835">
        <w:rPr>
          <w:b w:val="0"/>
        </w:rPr>
        <w:fldChar w:fldCharType="separate"/>
      </w:r>
      <w:r w:rsidR="00982E4E" w:rsidRPr="00B31835">
        <w:rPr>
          <w:b w:val="0"/>
        </w:rPr>
        <w:t>2.1</w:t>
      </w:r>
      <w:r w:rsidR="00982E4E" w:rsidRPr="00B31835">
        <w:rPr>
          <w:b w:val="0"/>
        </w:rPr>
        <w:fldChar w:fldCharType="end"/>
      </w:r>
      <w:r>
        <w:rPr>
          <w:b w:val="0"/>
        </w:rPr>
        <w:t xml:space="preserve"> et </w:t>
      </w:r>
      <w:r w:rsidR="00982E4E" w:rsidRPr="00B31835">
        <w:rPr>
          <w:b w:val="0"/>
        </w:rPr>
        <w:fldChar w:fldCharType="begin"/>
      </w:r>
      <w:r w:rsidR="00982E4E" w:rsidRPr="00B31835">
        <w:rPr>
          <w:b w:val="0"/>
        </w:rPr>
        <w:instrText xml:space="preserve"> REF _Ref36543171 \r \h </w:instrText>
      </w:r>
      <w:r w:rsidR="00982E4E" w:rsidRPr="00B31835">
        <w:rPr>
          <w:b w:val="0"/>
        </w:rPr>
      </w:r>
      <w:r w:rsidR="00982E4E" w:rsidRPr="00B31835">
        <w:rPr>
          <w:b w:val="0"/>
        </w:rPr>
        <w:fldChar w:fldCharType="separate"/>
      </w:r>
      <w:r w:rsidR="00982E4E" w:rsidRPr="00B31835">
        <w:rPr>
          <w:b w:val="0"/>
        </w:rPr>
        <w:t>2.2</w:t>
      </w:r>
      <w:r w:rsidR="00982E4E" w:rsidRPr="00B31835">
        <w:rPr>
          <w:b w:val="0"/>
        </w:rPr>
        <w:fldChar w:fldCharType="end"/>
      </w:r>
      <w:r>
        <w:rPr>
          <w:b w:val="0"/>
        </w:rPr>
        <w:t>.</w:t>
      </w:r>
      <w:bookmarkEnd w:id="2"/>
    </w:p>
    <w:p w14:paraId="28835AF3" w14:textId="77777777" w:rsidR="00DC75E9" w:rsidRPr="00B31835" w:rsidRDefault="00B31835" w:rsidP="00C2120B">
      <w:pPr>
        <w:pStyle w:val="ArticleL1"/>
        <w:keepNext w:val="0"/>
      </w:pPr>
      <w:r>
        <w:br/>
        <w:t>DURÉE ET RÉSILIATION</w:t>
      </w:r>
    </w:p>
    <w:p w14:paraId="5244E9E7" w14:textId="77777777" w:rsidR="00DC75E9" w:rsidRPr="00B31835" w:rsidRDefault="00B31835" w:rsidP="00DC75E9">
      <w:pPr>
        <w:pStyle w:val="ArticleL2"/>
        <w:rPr>
          <w:b w:val="0"/>
        </w:rPr>
      </w:pPr>
      <w:r>
        <w:rPr>
          <w:b w:val="0"/>
        </w:rPr>
        <w:lastRenderedPageBreak/>
        <w:t>La présente entente restera en vigueur jusqu</w:t>
      </w:r>
      <w:r w:rsidR="00936EFC">
        <w:rPr>
          <w:b w:val="0"/>
        </w:rPr>
        <w:t>’</w:t>
      </w:r>
      <w:r>
        <w:rPr>
          <w:b w:val="0"/>
        </w:rPr>
        <w:t>à sa résiliation d</w:t>
      </w:r>
      <w:r w:rsidR="00936EFC">
        <w:rPr>
          <w:b w:val="0"/>
        </w:rPr>
        <w:t>’</w:t>
      </w:r>
      <w:r>
        <w:rPr>
          <w:b w:val="0"/>
        </w:rPr>
        <w:t>un commun accord entre les parties. Les dispositions de l</w:t>
      </w:r>
      <w:r w:rsidR="00936EFC">
        <w:rPr>
          <w:b w:val="0"/>
        </w:rPr>
        <w:t>’</w:t>
      </w:r>
      <w:r>
        <w:rPr>
          <w:b w:val="0"/>
        </w:rPr>
        <w:t>article 2 et de l</w:t>
      </w:r>
      <w:r w:rsidR="00936EFC">
        <w:rPr>
          <w:b w:val="0"/>
        </w:rPr>
        <w:t>’</w:t>
      </w:r>
      <w:r>
        <w:rPr>
          <w:b w:val="0"/>
        </w:rPr>
        <w:t>article </w:t>
      </w:r>
      <w:r w:rsidR="00982E4E" w:rsidRPr="00B31835">
        <w:rPr>
          <w:b w:val="0"/>
        </w:rPr>
        <w:fldChar w:fldCharType="begin"/>
      </w:r>
      <w:r w:rsidR="00982E4E" w:rsidRPr="00B31835">
        <w:rPr>
          <w:b w:val="0"/>
        </w:rPr>
        <w:instrText xml:space="preserve"> REF _Ref36543275 \r \h </w:instrText>
      </w:r>
      <w:r w:rsidR="00982E4E" w:rsidRPr="00B31835">
        <w:rPr>
          <w:b w:val="0"/>
        </w:rPr>
      </w:r>
      <w:r w:rsidR="00982E4E" w:rsidRPr="00B31835">
        <w:rPr>
          <w:b w:val="0"/>
        </w:rPr>
        <w:fldChar w:fldCharType="separate"/>
      </w:r>
      <w:r w:rsidR="00982E4E" w:rsidRPr="00B31835">
        <w:rPr>
          <w:b w:val="0"/>
        </w:rPr>
        <w:t>3.3</w:t>
      </w:r>
      <w:r w:rsidR="00982E4E" w:rsidRPr="00B31835">
        <w:rPr>
          <w:b w:val="0"/>
        </w:rPr>
        <w:fldChar w:fldCharType="end"/>
      </w:r>
      <w:r>
        <w:rPr>
          <w:b w:val="0"/>
        </w:rPr>
        <w:t xml:space="preserve"> resteront en vigueur après la résiliation de la présente entente.</w:t>
      </w:r>
    </w:p>
    <w:p w14:paraId="38CE23A7" w14:textId="77777777" w:rsidR="00C42B86" w:rsidRPr="00B31835" w:rsidRDefault="00B31835" w:rsidP="00C42B86">
      <w:pPr>
        <w:pStyle w:val="ArticleL2"/>
        <w:rPr>
          <w:b w:val="0"/>
        </w:rPr>
      </w:pPr>
      <w:r>
        <w:rPr>
          <w:b w:val="0"/>
        </w:rPr>
        <w:t>Le détenteur de fonds peut informer 30 jours à l</w:t>
      </w:r>
      <w:r w:rsidR="00936EFC">
        <w:rPr>
          <w:b w:val="0"/>
        </w:rPr>
        <w:t>’</w:t>
      </w:r>
      <w:r>
        <w:rPr>
          <w:b w:val="0"/>
        </w:rPr>
        <w:t>avance le conseil de collaboration et les membres de l</w:t>
      </w:r>
      <w:r w:rsidR="00936EFC">
        <w:rPr>
          <w:b w:val="0"/>
        </w:rPr>
        <w:t>’</w:t>
      </w:r>
      <w:r>
        <w:rPr>
          <w:b w:val="0"/>
        </w:rPr>
        <w:t>équipe qu</w:t>
      </w:r>
      <w:r w:rsidR="00936EFC">
        <w:rPr>
          <w:b w:val="0"/>
        </w:rPr>
        <w:t>’</w:t>
      </w:r>
      <w:r>
        <w:rPr>
          <w:b w:val="0"/>
        </w:rPr>
        <w:t>il ne souhaite plus exercer la fonction de gestionnaire de fonds</w:t>
      </w:r>
      <w:r w:rsidR="00DB7C0D">
        <w:rPr>
          <w:b w:val="0"/>
        </w:rPr>
        <w:t xml:space="preserve">. </w:t>
      </w:r>
      <w:r>
        <w:rPr>
          <w:b w:val="0"/>
        </w:rPr>
        <w:t>Dans ce cas, le conseil de collaboration désignera un autre membre de l</w:t>
      </w:r>
      <w:r w:rsidR="00936EFC">
        <w:rPr>
          <w:b w:val="0"/>
        </w:rPr>
        <w:t>’</w:t>
      </w:r>
      <w:r>
        <w:rPr>
          <w:b w:val="0"/>
        </w:rPr>
        <w:t>équipe à titre de détenteur de fonds et, lorsque ledit membre de l</w:t>
      </w:r>
      <w:r w:rsidR="00936EFC">
        <w:rPr>
          <w:b w:val="0"/>
        </w:rPr>
        <w:t>’</w:t>
      </w:r>
      <w:r>
        <w:rPr>
          <w:b w:val="0"/>
        </w:rPr>
        <w:t>équipe aura confirmé par écrit à tous les autres membres de l</w:t>
      </w:r>
      <w:r w:rsidR="00936EFC">
        <w:rPr>
          <w:b w:val="0"/>
        </w:rPr>
        <w:t>’</w:t>
      </w:r>
      <w:r>
        <w:rPr>
          <w:b w:val="0"/>
        </w:rPr>
        <w:t>équipe qu</w:t>
      </w:r>
      <w:r w:rsidR="00936EFC">
        <w:rPr>
          <w:b w:val="0"/>
        </w:rPr>
        <w:t>’</w:t>
      </w:r>
      <w:r>
        <w:rPr>
          <w:b w:val="0"/>
        </w:rPr>
        <w:t>il accepte d</w:t>
      </w:r>
      <w:r w:rsidR="00936EFC">
        <w:rPr>
          <w:b w:val="0"/>
        </w:rPr>
        <w:t>’</w:t>
      </w:r>
      <w:r>
        <w:rPr>
          <w:b w:val="0"/>
        </w:rPr>
        <w:t>assumer le rôle et les obligations du détenteur de fonds aux termes de la présente entente, il sera réputé être le détenteur de fonds pour les besoins de la présente entente, à compter de la date précisée dans ladite confirmation écrite.</w:t>
      </w:r>
    </w:p>
    <w:p w14:paraId="573A8440" w14:textId="77777777" w:rsidR="00DC75E9" w:rsidRPr="00B31835" w:rsidRDefault="00B31835" w:rsidP="00C42B86">
      <w:pPr>
        <w:pStyle w:val="ArticleL2"/>
        <w:rPr>
          <w:b w:val="0"/>
        </w:rPr>
      </w:pPr>
      <w:bookmarkStart w:id="3" w:name="_Ref36543275"/>
      <w:r>
        <w:rPr>
          <w:b w:val="0"/>
        </w:rPr>
        <w:t>Tout membre de l</w:t>
      </w:r>
      <w:r w:rsidR="00936EFC">
        <w:rPr>
          <w:b w:val="0"/>
        </w:rPr>
        <w:t>’</w:t>
      </w:r>
      <w:r>
        <w:rPr>
          <w:b w:val="0"/>
        </w:rPr>
        <w:t>équipe qui cesse d</w:t>
      </w:r>
      <w:r w:rsidR="00936EFC">
        <w:rPr>
          <w:b w:val="0"/>
        </w:rPr>
        <w:t>’</w:t>
      </w:r>
      <w:r>
        <w:rPr>
          <w:b w:val="0"/>
        </w:rPr>
        <w:t>être membre de l</w:t>
      </w:r>
      <w:r w:rsidR="00936EFC">
        <w:rPr>
          <w:b w:val="0"/>
        </w:rPr>
        <w:t>’</w:t>
      </w:r>
      <w:r>
        <w:rPr>
          <w:b w:val="0"/>
        </w:rPr>
        <w:t>ÉSO-X cesse d</w:t>
      </w:r>
      <w:r w:rsidR="00936EFC">
        <w:rPr>
          <w:b w:val="0"/>
        </w:rPr>
        <w:t>’</w:t>
      </w:r>
      <w:r>
        <w:rPr>
          <w:b w:val="0"/>
        </w:rPr>
        <w:t xml:space="preserve">être partie à la présente entente, mais demeure responsable des obligations découlant de la présente entente en ce qui concerne tout fonds du Ministère ou fonds commun </w:t>
      </w:r>
      <w:r>
        <w:rPr>
          <w:i/>
          <w:highlight w:val="yellow"/>
        </w:rPr>
        <w:t>[reçus/distribués par]</w:t>
      </w:r>
      <w:r>
        <w:rPr>
          <w:b w:val="0"/>
        </w:rPr>
        <w:t xml:space="preserve"> le détenteur de fonds avant la date à laquelle ce membre de l</w:t>
      </w:r>
      <w:r w:rsidR="00936EFC">
        <w:rPr>
          <w:b w:val="0"/>
        </w:rPr>
        <w:t>’</w:t>
      </w:r>
      <w:r>
        <w:rPr>
          <w:b w:val="0"/>
        </w:rPr>
        <w:t>équipe cesse d</w:t>
      </w:r>
      <w:r w:rsidR="00936EFC">
        <w:rPr>
          <w:b w:val="0"/>
        </w:rPr>
        <w:t>’</w:t>
      </w:r>
      <w:r>
        <w:rPr>
          <w:b w:val="0"/>
        </w:rPr>
        <w:t>être membre de l</w:t>
      </w:r>
      <w:r w:rsidR="00936EFC">
        <w:rPr>
          <w:b w:val="0"/>
        </w:rPr>
        <w:t>’</w:t>
      </w:r>
      <w:r>
        <w:rPr>
          <w:b w:val="0"/>
        </w:rPr>
        <w:t>ÉSO-X.</w:t>
      </w:r>
      <w:bookmarkEnd w:id="3"/>
    </w:p>
    <w:p w14:paraId="7AF06922" w14:textId="77777777" w:rsidR="00BC007E" w:rsidRPr="00B31835" w:rsidRDefault="00B31835" w:rsidP="00AA4143">
      <w:pPr>
        <w:pStyle w:val="ArticleL1"/>
        <w:keepLines/>
      </w:pPr>
      <w:r>
        <w:br/>
        <w:t>Généralités</w:t>
      </w:r>
    </w:p>
    <w:p w14:paraId="73FE2E0A" w14:textId="77777777" w:rsidR="00E476A9" w:rsidRPr="00B31835" w:rsidRDefault="00B31835" w:rsidP="00C2120B">
      <w:pPr>
        <w:pStyle w:val="ArticleL2"/>
        <w:keepNext w:val="0"/>
        <w:rPr>
          <w:b w:val="0"/>
        </w:rPr>
      </w:pPr>
      <w:r>
        <w:rPr>
          <w:b w:val="0"/>
        </w:rPr>
        <w:t>Les dispositions de l</w:t>
      </w:r>
      <w:r w:rsidR="00936EFC">
        <w:rPr>
          <w:b w:val="0"/>
        </w:rPr>
        <w:t>’</w:t>
      </w:r>
      <w:r>
        <w:rPr>
          <w:b w:val="0"/>
        </w:rPr>
        <w:t>entente de collaboration relatives au règlement des différends s</w:t>
      </w:r>
      <w:r w:rsidR="00936EFC">
        <w:rPr>
          <w:b w:val="0"/>
        </w:rPr>
        <w:t>’</w:t>
      </w:r>
      <w:r>
        <w:rPr>
          <w:b w:val="0"/>
        </w:rPr>
        <w:t>appliquent à tout différend concernant la présente entente.</w:t>
      </w:r>
    </w:p>
    <w:p w14:paraId="79393D06" w14:textId="77777777" w:rsidR="00C42B86" w:rsidRPr="00B31835" w:rsidRDefault="00B31835" w:rsidP="00C2120B">
      <w:pPr>
        <w:pStyle w:val="ArticleL2"/>
        <w:keepNext w:val="0"/>
        <w:rPr>
          <w:b w:val="0"/>
        </w:rPr>
      </w:pPr>
      <w:r>
        <w:rPr>
          <w:b w:val="0"/>
        </w:rPr>
        <w:t>Les avis relatifs à la présente entente sont donnés et réputés reçus conformément aux dispositions de l</w:t>
      </w:r>
      <w:r w:rsidR="00936EFC">
        <w:rPr>
          <w:b w:val="0"/>
        </w:rPr>
        <w:t>’</w:t>
      </w:r>
      <w:r>
        <w:rPr>
          <w:b w:val="0"/>
        </w:rPr>
        <w:t>entente de collaboration.</w:t>
      </w:r>
    </w:p>
    <w:p w14:paraId="23E71813" w14:textId="77777777" w:rsidR="00E476A9" w:rsidRPr="00B31835" w:rsidRDefault="00B31835" w:rsidP="00C2120B">
      <w:pPr>
        <w:pStyle w:val="ArticleL2"/>
        <w:keepNext w:val="0"/>
        <w:rPr>
          <w:b w:val="0"/>
          <w:bCs w:val="0"/>
        </w:rPr>
      </w:pPr>
      <w:r>
        <w:rPr>
          <w:b w:val="0"/>
          <w:bCs w:val="0"/>
        </w:rPr>
        <w:t>La présente entente constitue l</w:t>
      </w:r>
      <w:r w:rsidR="00936EFC">
        <w:rPr>
          <w:b w:val="0"/>
          <w:bCs w:val="0"/>
        </w:rPr>
        <w:t>’</w:t>
      </w:r>
      <w:r>
        <w:rPr>
          <w:b w:val="0"/>
          <w:bCs w:val="0"/>
        </w:rPr>
        <w:t>intégralité de l</w:t>
      </w:r>
      <w:r w:rsidR="00936EFC">
        <w:rPr>
          <w:b w:val="0"/>
          <w:bCs w:val="0"/>
        </w:rPr>
        <w:t>’</w:t>
      </w:r>
      <w:r>
        <w:rPr>
          <w:b w:val="0"/>
          <w:bCs w:val="0"/>
        </w:rPr>
        <w:t>accord entre les parties en ce qui concerne l</w:t>
      </w:r>
      <w:r w:rsidR="00936EFC">
        <w:rPr>
          <w:b w:val="0"/>
          <w:bCs w:val="0"/>
        </w:rPr>
        <w:t>’</w:t>
      </w:r>
      <w:r>
        <w:rPr>
          <w:b w:val="0"/>
          <w:bCs w:val="0"/>
        </w:rPr>
        <w:t>objet de la présente entente</w:t>
      </w:r>
      <w:r w:rsidR="00DB7C0D">
        <w:rPr>
          <w:b w:val="0"/>
          <w:bCs w:val="0"/>
        </w:rPr>
        <w:t xml:space="preserve">. </w:t>
      </w:r>
      <w:r>
        <w:rPr>
          <w:b w:val="0"/>
          <w:bCs w:val="0"/>
        </w:rPr>
        <w:t>Par souci de précision, l</w:t>
      </w:r>
      <w:r w:rsidR="00936EFC">
        <w:rPr>
          <w:b w:val="0"/>
          <w:bCs w:val="0"/>
        </w:rPr>
        <w:t>’</w:t>
      </w:r>
      <w:r>
        <w:rPr>
          <w:b w:val="0"/>
          <w:bCs w:val="0"/>
        </w:rPr>
        <w:t>entente de collaboration s</w:t>
      </w:r>
      <w:r w:rsidR="00936EFC">
        <w:rPr>
          <w:b w:val="0"/>
          <w:bCs w:val="0"/>
        </w:rPr>
        <w:t>’</w:t>
      </w:r>
      <w:r>
        <w:rPr>
          <w:b w:val="0"/>
          <w:bCs w:val="0"/>
        </w:rPr>
        <w:t>applique également entre et parmi les membres de l</w:t>
      </w:r>
      <w:r w:rsidR="00936EFC">
        <w:rPr>
          <w:b w:val="0"/>
          <w:bCs w:val="0"/>
        </w:rPr>
        <w:t>’</w:t>
      </w:r>
      <w:r>
        <w:rPr>
          <w:b w:val="0"/>
          <w:bCs w:val="0"/>
        </w:rPr>
        <w:t>équipe.</w:t>
      </w:r>
    </w:p>
    <w:p w14:paraId="73936558" w14:textId="77777777" w:rsidR="00E476A9" w:rsidRPr="00B31835" w:rsidRDefault="00B31835" w:rsidP="00E476A9">
      <w:pPr>
        <w:pStyle w:val="ArticleL2"/>
        <w:keepNext w:val="0"/>
        <w:rPr>
          <w:b w:val="0"/>
          <w:bCs w:val="0"/>
        </w:rPr>
      </w:pPr>
      <w:r>
        <w:rPr>
          <w:b w:val="0"/>
          <w:bCs w:val="0"/>
        </w:rPr>
        <w:t>Sous réserve de l</w:t>
      </w:r>
      <w:r w:rsidR="00936EFC">
        <w:rPr>
          <w:b w:val="0"/>
          <w:bCs w:val="0"/>
        </w:rPr>
        <w:t>’</w:t>
      </w:r>
      <w:r>
        <w:rPr>
          <w:b w:val="0"/>
          <w:bCs w:val="0"/>
        </w:rPr>
        <w:t>article </w:t>
      </w:r>
      <w:r w:rsidR="006850AC" w:rsidRPr="00B31835">
        <w:rPr>
          <w:b w:val="0"/>
          <w:bCs w:val="0"/>
        </w:rPr>
        <w:fldChar w:fldCharType="begin"/>
      </w:r>
      <w:r w:rsidR="006850AC" w:rsidRPr="00B31835">
        <w:rPr>
          <w:b w:val="0"/>
          <w:bCs w:val="0"/>
        </w:rPr>
        <w:instrText xml:space="preserve"> REF _Ref36543275 \r \h </w:instrText>
      </w:r>
      <w:r w:rsidR="006850AC" w:rsidRPr="00B31835">
        <w:rPr>
          <w:b w:val="0"/>
          <w:bCs w:val="0"/>
        </w:rPr>
      </w:r>
      <w:r w:rsidR="006850AC" w:rsidRPr="00B31835">
        <w:rPr>
          <w:b w:val="0"/>
          <w:bCs w:val="0"/>
        </w:rPr>
        <w:fldChar w:fldCharType="separate"/>
      </w:r>
      <w:r w:rsidR="000E44F7" w:rsidRPr="00B31835">
        <w:rPr>
          <w:b w:val="0"/>
          <w:bCs w:val="0"/>
        </w:rPr>
        <w:t>3.3</w:t>
      </w:r>
      <w:r w:rsidR="006850AC" w:rsidRPr="00B31835">
        <w:rPr>
          <w:b w:val="0"/>
          <w:bCs w:val="0"/>
        </w:rPr>
        <w:fldChar w:fldCharType="end"/>
      </w:r>
      <w:r>
        <w:rPr>
          <w:b w:val="0"/>
          <w:bCs w:val="0"/>
        </w:rPr>
        <w:t>, la présente entente peut être modifiée d</w:t>
      </w:r>
      <w:r w:rsidR="00936EFC">
        <w:rPr>
          <w:b w:val="0"/>
          <w:bCs w:val="0"/>
        </w:rPr>
        <w:t>’</w:t>
      </w:r>
      <w:r>
        <w:rPr>
          <w:b w:val="0"/>
          <w:bCs w:val="0"/>
        </w:rPr>
        <w:t>un commun accord écrit des parties seulement. Si une modification législative ou une directive du ministère de la Santé ou d</w:t>
      </w:r>
      <w:r w:rsidR="00936EFC">
        <w:rPr>
          <w:b w:val="0"/>
          <w:bCs w:val="0"/>
        </w:rPr>
        <w:t>’</w:t>
      </w:r>
      <w:r>
        <w:rPr>
          <w:b w:val="0"/>
          <w:bCs w:val="0"/>
        </w:rPr>
        <w:t>une autre autorité gouvernementale ou publique nécessite un changement dans la manière d</w:t>
      </w:r>
      <w:r w:rsidR="00936EFC">
        <w:rPr>
          <w:b w:val="0"/>
          <w:bCs w:val="0"/>
        </w:rPr>
        <w:t>’</w:t>
      </w:r>
      <w:r>
        <w:rPr>
          <w:b w:val="0"/>
          <w:bCs w:val="0"/>
        </w:rPr>
        <w:t>exécuter la présente entente ou de détenir les fonds pour l</w:t>
      </w:r>
      <w:r w:rsidR="00936EFC">
        <w:rPr>
          <w:b w:val="0"/>
          <w:bCs w:val="0"/>
        </w:rPr>
        <w:t>’</w:t>
      </w:r>
      <w:r>
        <w:rPr>
          <w:b w:val="0"/>
          <w:bCs w:val="0"/>
        </w:rPr>
        <w:t>ÉSO, les parties travailleront en coopération pour modifier la présente entente afin de tenir compte dudit changement.</w:t>
      </w:r>
    </w:p>
    <w:p w14:paraId="78A3D601" w14:textId="77777777" w:rsidR="001D6343" w:rsidRPr="00B31835" w:rsidRDefault="00B31835" w:rsidP="00C2120B">
      <w:pPr>
        <w:pStyle w:val="ArticleL2"/>
        <w:keepNext w:val="0"/>
        <w:rPr>
          <w:b w:val="0"/>
        </w:rPr>
      </w:pPr>
      <w:r>
        <w:rPr>
          <w:b w:val="0"/>
        </w:rPr>
        <w:t>Aucune partie ne peut céder ses droits ou obligations au titre de la présente entente sans le consentement écrit préalable du conseil de collaboration. La présente entente s</w:t>
      </w:r>
      <w:r w:rsidR="00936EFC">
        <w:rPr>
          <w:b w:val="0"/>
        </w:rPr>
        <w:t>’</w:t>
      </w:r>
      <w:r>
        <w:rPr>
          <w:b w:val="0"/>
        </w:rPr>
        <w:t>applique au profit des parties et de leurs successeurs respectifs (y compris tout successeur découlant d</w:t>
      </w:r>
      <w:r w:rsidR="00936EFC">
        <w:rPr>
          <w:b w:val="0"/>
        </w:rPr>
        <w:t>’</w:t>
      </w:r>
      <w:r>
        <w:rPr>
          <w:b w:val="0"/>
        </w:rPr>
        <w:t>une fusion ou d</w:t>
      </w:r>
      <w:r w:rsidR="00936EFC">
        <w:rPr>
          <w:b w:val="0"/>
        </w:rPr>
        <w:t>’</w:t>
      </w:r>
      <w:r>
        <w:rPr>
          <w:b w:val="0"/>
        </w:rPr>
        <w:t>une restructuration d</w:t>
      </w:r>
      <w:r w:rsidR="00936EFC">
        <w:rPr>
          <w:b w:val="0"/>
        </w:rPr>
        <w:t>’</w:t>
      </w:r>
      <w:r>
        <w:rPr>
          <w:b w:val="0"/>
        </w:rPr>
        <w:t>une ou de plusieurs parties) et des cessionnaires autorisés, et les lie.</w:t>
      </w:r>
    </w:p>
    <w:p w14:paraId="4055DA13" w14:textId="77777777" w:rsidR="001D6343" w:rsidRPr="00B31835" w:rsidRDefault="00B31835" w:rsidP="00C2120B">
      <w:pPr>
        <w:pStyle w:val="ArticleL2"/>
        <w:keepNext w:val="0"/>
        <w:rPr>
          <w:b w:val="0"/>
        </w:rPr>
      </w:pPr>
      <w:r>
        <w:rPr>
          <w:b w:val="0"/>
        </w:rPr>
        <w:lastRenderedPageBreak/>
        <w:t>Aucune renonciation à une disposition de la présente entente n</w:t>
      </w:r>
      <w:r w:rsidR="00936EFC">
        <w:rPr>
          <w:b w:val="0"/>
        </w:rPr>
        <w:t>’</w:t>
      </w:r>
      <w:r>
        <w:rPr>
          <w:b w:val="0"/>
        </w:rPr>
        <w:t>est contraignante si elle n</w:t>
      </w:r>
      <w:r w:rsidR="00936EFC">
        <w:rPr>
          <w:b w:val="0"/>
        </w:rPr>
        <w:t>’</w:t>
      </w:r>
      <w:r>
        <w:rPr>
          <w:b w:val="0"/>
        </w:rPr>
        <w:t>est pas signée par la partie habilitée à accorder la renonciation.</w:t>
      </w:r>
    </w:p>
    <w:p w14:paraId="389BF287" w14:textId="77777777" w:rsidR="003A03B9" w:rsidRPr="00B31835" w:rsidRDefault="00B31835" w:rsidP="00C2120B">
      <w:pPr>
        <w:pStyle w:val="ArticleL2"/>
        <w:keepNext w:val="0"/>
        <w:rPr>
          <w:b w:val="0"/>
        </w:rPr>
      </w:pPr>
      <w:r>
        <w:rPr>
          <w:b w:val="0"/>
        </w:rPr>
        <w:t>Chaque disposition de la présente entente est distincte et divisible. Toute déclaration par un tribunal compétent de la nullité ou de l</w:t>
      </w:r>
      <w:r w:rsidR="00936EFC">
        <w:rPr>
          <w:b w:val="0"/>
        </w:rPr>
        <w:t>’</w:t>
      </w:r>
      <w:r>
        <w:rPr>
          <w:b w:val="0"/>
        </w:rPr>
        <w:t>inapplicabilité d</w:t>
      </w:r>
      <w:r w:rsidR="00936EFC">
        <w:rPr>
          <w:b w:val="0"/>
        </w:rPr>
        <w:t>’</w:t>
      </w:r>
      <w:r>
        <w:rPr>
          <w:b w:val="0"/>
        </w:rPr>
        <w:t>une disposition n</w:t>
      </w:r>
      <w:r w:rsidR="00936EFC">
        <w:rPr>
          <w:b w:val="0"/>
        </w:rPr>
        <w:t>’</w:t>
      </w:r>
      <w:r>
        <w:rPr>
          <w:b w:val="0"/>
        </w:rPr>
        <w:t>aura aucun effet sur la validité et l</w:t>
      </w:r>
      <w:r w:rsidR="00936EFC">
        <w:rPr>
          <w:b w:val="0"/>
        </w:rPr>
        <w:t>’</w:t>
      </w:r>
      <w:r>
        <w:rPr>
          <w:b w:val="0"/>
        </w:rPr>
        <w:t>applicabilité de toute autre disposition.</w:t>
      </w:r>
    </w:p>
    <w:p w14:paraId="51B406E6" w14:textId="77777777" w:rsidR="00BC007E" w:rsidRPr="00B31835" w:rsidRDefault="00B31835" w:rsidP="00C2120B">
      <w:pPr>
        <w:pStyle w:val="ArticleL2"/>
        <w:keepNext w:val="0"/>
        <w:rPr>
          <w:b w:val="0"/>
        </w:rPr>
      </w:pPr>
      <w:r>
        <w:rPr>
          <w:b w:val="0"/>
        </w:rPr>
        <w:t>Chaque partie convient qu</w:t>
      </w:r>
      <w:r w:rsidR="00936EFC">
        <w:rPr>
          <w:b w:val="0"/>
        </w:rPr>
        <w:t>’</w:t>
      </w:r>
      <w:r>
        <w:rPr>
          <w:b w:val="0"/>
        </w:rPr>
        <w:t>à la demande écrite de toute autre partie [ou du conseil de collaboration], elle prendra toutes les mesures et signera les autres documents nécessaires ou souhaitables pour réaliser les objectifs de la présente entente.</w:t>
      </w:r>
    </w:p>
    <w:p w14:paraId="027987F1" w14:textId="77777777" w:rsidR="00BC007E" w:rsidRPr="00B31835" w:rsidRDefault="00B31835" w:rsidP="00C2120B">
      <w:pPr>
        <w:pStyle w:val="ArticleL2"/>
        <w:keepNext w:val="0"/>
        <w:rPr>
          <w:b w:val="0"/>
        </w:rPr>
      </w:pPr>
      <w:r>
        <w:rPr>
          <w:b w:val="0"/>
        </w:rPr>
        <w:t>La présente entente peut être signée en plusieurs exemplaires, chacun d</w:t>
      </w:r>
      <w:r w:rsidR="00936EFC">
        <w:rPr>
          <w:b w:val="0"/>
        </w:rPr>
        <w:t>’</w:t>
      </w:r>
      <w:r>
        <w:rPr>
          <w:b w:val="0"/>
        </w:rPr>
        <w:t>eux étant considéré comme un original et l</w:t>
      </w:r>
      <w:r w:rsidR="00936EFC">
        <w:rPr>
          <w:b w:val="0"/>
        </w:rPr>
        <w:t>’</w:t>
      </w:r>
      <w:r>
        <w:rPr>
          <w:b w:val="0"/>
        </w:rPr>
        <w:t>ensemble d</w:t>
      </w:r>
      <w:r w:rsidR="00936EFC">
        <w:rPr>
          <w:b w:val="0"/>
        </w:rPr>
        <w:t>’</w:t>
      </w:r>
      <w:r>
        <w:rPr>
          <w:b w:val="0"/>
        </w:rPr>
        <w:t>entre eux constituant une seule entente</w:t>
      </w:r>
      <w:r w:rsidR="00DB7C0D">
        <w:rPr>
          <w:b w:val="0"/>
        </w:rPr>
        <w:t xml:space="preserve">. </w:t>
      </w:r>
      <w:r>
        <w:rPr>
          <w:b w:val="0"/>
        </w:rPr>
        <w:t>La remise d</w:t>
      </w:r>
      <w:r w:rsidR="00936EFC">
        <w:rPr>
          <w:b w:val="0"/>
        </w:rPr>
        <w:t>’</w:t>
      </w:r>
      <w:r>
        <w:rPr>
          <w:b w:val="0"/>
        </w:rPr>
        <w:t>un exemplaire signé de la présente entente sous forme électronique et lisible sera tout aussi valable que la remise d</w:t>
      </w:r>
      <w:r w:rsidR="00936EFC">
        <w:rPr>
          <w:b w:val="0"/>
        </w:rPr>
        <w:t>’</w:t>
      </w:r>
      <w:r>
        <w:rPr>
          <w:b w:val="0"/>
        </w:rPr>
        <w:t>un exemplaire portant une signature manuscrite.</w:t>
      </w:r>
    </w:p>
    <w:p w14:paraId="0B60C8A0" w14:textId="77777777" w:rsidR="001C31AC" w:rsidRPr="00B31835" w:rsidRDefault="00B31835" w:rsidP="001C31AC">
      <w:pPr>
        <w:pStyle w:val="ArticleL2"/>
        <w:keepNext w:val="0"/>
      </w:pPr>
      <w:r>
        <w:rPr>
          <w:b w:val="0"/>
        </w:rPr>
        <w:t>La présente entente est régie, interprétée et appliquée conformément aux lois de la province de l</w:t>
      </w:r>
      <w:r w:rsidR="00936EFC">
        <w:rPr>
          <w:b w:val="0"/>
        </w:rPr>
        <w:t>’</w:t>
      </w:r>
      <w:r>
        <w:rPr>
          <w:b w:val="0"/>
        </w:rPr>
        <w:t>Ontario et aux lois du Canada applicables dans la province de l</w:t>
      </w:r>
      <w:r w:rsidR="00936EFC">
        <w:rPr>
          <w:b w:val="0"/>
        </w:rPr>
        <w:t>’</w:t>
      </w:r>
      <w:r>
        <w:rPr>
          <w:b w:val="0"/>
        </w:rPr>
        <w:t>Ontario.</w:t>
      </w:r>
    </w:p>
    <w:p w14:paraId="1AFD4BB7" w14:textId="77777777" w:rsidR="00BC007E" w:rsidRPr="00B31835" w:rsidRDefault="00B31835" w:rsidP="00C2120B">
      <w:pPr>
        <w:pStyle w:val="OHHpara"/>
        <w:keepNext/>
        <w:keepLines/>
      </w:pPr>
      <w:r>
        <w:rPr>
          <w:b/>
        </w:rPr>
        <w:t>EN FOI DE QUOI</w:t>
      </w:r>
      <w:r>
        <w:t xml:space="preserve"> les parties ont signé la présente entente à la date mentionnée en premier lieu ci-dessus.</w:t>
      </w:r>
    </w:p>
    <w:p w14:paraId="024E6EB0" w14:textId="77777777" w:rsidR="007174E1" w:rsidRPr="00B31835" w:rsidRDefault="00B31835" w:rsidP="007174E1">
      <w:pPr>
        <w:pStyle w:val="OHHpara"/>
        <w:keepNext/>
        <w:keepLines/>
        <w:jc w:val="center"/>
        <w:rPr>
          <w:b/>
          <w:i/>
        </w:rPr>
      </w:pPr>
      <w:r>
        <w:rPr>
          <w:b/>
          <w:i/>
          <w:highlight w:val="yellow"/>
        </w:rPr>
        <w:t>[Inscrire les lignes de signature pour les membres de l</w:t>
      </w:r>
      <w:r w:rsidR="00936EFC">
        <w:rPr>
          <w:b/>
          <w:i/>
          <w:highlight w:val="yellow"/>
        </w:rPr>
        <w:t>’</w:t>
      </w:r>
      <w:r>
        <w:rPr>
          <w:b/>
          <w:i/>
          <w:highlight w:val="yellow"/>
        </w:rPr>
        <w:t>équipe]</w:t>
      </w:r>
    </w:p>
    <w:p w14:paraId="15F8F78C" w14:textId="77777777" w:rsidR="00BC007E" w:rsidRPr="00B31835" w:rsidRDefault="00BC007E">
      <w:pPr>
        <w:pStyle w:val="OHHpara"/>
      </w:pPr>
    </w:p>
    <w:p w14:paraId="0B3D6808" w14:textId="77777777" w:rsidR="00850F99" w:rsidRPr="00B31835" w:rsidRDefault="00850F99">
      <w:pPr>
        <w:tabs>
          <w:tab w:val="left" w:pos="4320"/>
        </w:tabs>
        <w:jc w:val="center"/>
        <w:rPr>
          <w:b/>
          <w:u w:val="single"/>
        </w:rPr>
        <w:sectPr w:rsidR="00850F99" w:rsidRPr="00B31835" w:rsidSect="00957B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6" w:footer="706" w:gutter="0"/>
          <w:cols w:space="720"/>
          <w:titlePg/>
          <w:docGrid w:linePitch="360"/>
        </w:sectPr>
      </w:pPr>
    </w:p>
    <w:p w14:paraId="4DCCA32E" w14:textId="77777777" w:rsidR="00BC007E" w:rsidRPr="00B31835" w:rsidRDefault="00B31835">
      <w:pPr>
        <w:tabs>
          <w:tab w:val="left" w:pos="4320"/>
        </w:tabs>
        <w:jc w:val="center"/>
        <w:rPr>
          <w:b/>
          <w:u w:val="single"/>
        </w:rPr>
      </w:pPr>
      <w:r>
        <w:rPr>
          <w:b/>
          <w:u w:val="single"/>
        </w:rPr>
        <w:lastRenderedPageBreak/>
        <w:t>Annexe « A »</w:t>
      </w:r>
    </w:p>
    <w:p w14:paraId="3E9CFA9C" w14:textId="77777777" w:rsidR="00BC007E" w:rsidRPr="00B31835" w:rsidRDefault="00BC007E">
      <w:pPr>
        <w:tabs>
          <w:tab w:val="left" w:pos="4320"/>
        </w:tabs>
        <w:jc w:val="center"/>
        <w:rPr>
          <w:b/>
          <w:u w:val="single"/>
        </w:rPr>
      </w:pPr>
    </w:p>
    <w:p w14:paraId="2746FB34" w14:textId="77777777" w:rsidR="00BC007E" w:rsidRPr="00B31835" w:rsidRDefault="00B31835">
      <w:pPr>
        <w:tabs>
          <w:tab w:val="left" w:pos="4320"/>
        </w:tabs>
        <w:jc w:val="center"/>
        <w:rPr>
          <w:b/>
          <w:u w:val="single"/>
        </w:rPr>
      </w:pPr>
      <w:r>
        <w:rPr>
          <w:b/>
          <w:u w:val="single"/>
        </w:rPr>
        <w:t>Liste des membres de l</w:t>
      </w:r>
      <w:r w:rsidR="00936EFC">
        <w:rPr>
          <w:b/>
          <w:u w:val="single"/>
        </w:rPr>
        <w:t>’</w:t>
      </w:r>
      <w:r>
        <w:rPr>
          <w:b/>
          <w:u w:val="single"/>
        </w:rPr>
        <w:t>équipe et de leur intérêt proportionnel</w:t>
      </w:r>
    </w:p>
    <w:p w14:paraId="691FCD22" w14:textId="77777777" w:rsidR="00BC007E" w:rsidRPr="00B31835" w:rsidRDefault="00B31835" w:rsidP="00D131D9">
      <w:pPr>
        <w:tabs>
          <w:tab w:val="left" w:pos="4320"/>
        </w:tabs>
        <w:spacing w:before="240"/>
        <w:rPr>
          <w:b/>
          <w:i/>
        </w:rPr>
      </w:pPr>
      <w:r>
        <w:rPr>
          <w:b/>
          <w:i/>
          <w:highlight w:val="yellow"/>
        </w:rPr>
        <w:t>[Inscrire]</w:t>
      </w:r>
    </w:p>
    <w:p w14:paraId="040D89FD" w14:textId="77777777" w:rsidR="00D131D9" w:rsidRPr="00B31835" w:rsidRDefault="00D131D9" w:rsidP="00D131D9">
      <w:pPr>
        <w:tabs>
          <w:tab w:val="left" w:pos="4320"/>
        </w:tabs>
        <w:spacing w:before="240"/>
      </w:pPr>
    </w:p>
    <w:p w14:paraId="16737353" w14:textId="77777777" w:rsidR="00D131D9" w:rsidRPr="00B31835" w:rsidRDefault="00D131D9" w:rsidP="00D131D9">
      <w:pPr>
        <w:tabs>
          <w:tab w:val="left" w:pos="4320"/>
        </w:tabs>
        <w:spacing w:before="240"/>
      </w:pPr>
    </w:p>
    <w:p w14:paraId="661BE468" w14:textId="77777777" w:rsidR="00D131D9" w:rsidRPr="00B31835" w:rsidRDefault="00D131D9" w:rsidP="00D131D9">
      <w:pPr>
        <w:tabs>
          <w:tab w:val="left" w:pos="4320"/>
        </w:tabs>
        <w:spacing w:before="240"/>
      </w:pPr>
    </w:p>
    <w:p w14:paraId="57165EE5" w14:textId="77777777" w:rsidR="00D131D9" w:rsidRPr="00B31835" w:rsidRDefault="00D131D9" w:rsidP="00D131D9">
      <w:pPr>
        <w:tabs>
          <w:tab w:val="left" w:pos="4320"/>
        </w:tabs>
        <w:spacing w:before="240"/>
      </w:pPr>
    </w:p>
    <w:p w14:paraId="10434D5D" w14:textId="77777777" w:rsidR="00D131D9" w:rsidRPr="00B31835" w:rsidRDefault="00D131D9" w:rsidP="00D131D9">
      <w:pPr>
        <w:tabs>
          <w:tab w:val="left" w:pos="4320"/>
        </w:tabs>
        <w:spacing w:before="240"/>
      </w:pPr>
    </w:p>
    <w:p w14:paraId="00FB97EB" w14:textId="77777777" w:rsidR="00D131D9" w:rsidRPr="00B31835" w:rsidRDefault="00D131D9" w:rsidP="00D131D9">
      <w:pPr>
        <w:tabs>
          <w:tab w:val="left" w:pos="4320"/>
        </w:tabs>
        <w:spacing w:before="240"/>
      </w:pPr>
    </w:p>
    <w:p w14:paraId="4EFFCF83" w14:textId="77777777" w:rsidR="00D131D9" w:rsidRPr="00B31835" w:rsidRDefault="00D131D9" w:rsidP="00D131D9">
      <w:pPr>
        <w:tabs>
          <w:tab w:val="left" w:pos="4320"/>
        </w:tabs>
        <w:spacing w:before="240"/>
      </w:pPr>
    </w:p>
    <w:p w14:paraId="46C8B6D2" w14:textId="77777777" w:rsidR="00D131D9" w:rsidRPr="00B31835" w:rsidRDefault="00D131D9" w:rsidP="00D131D9">
      <w:pPr>
        <w:tabs>
          <w:tab w:val="left" w:pos="4320"/>
        </w:tabs>
        <w:spacing w:before="240"/>
      </w:pPr>
    </w:p>
    <w:p w14:paraId="1D1A809D" w14:textId="77777777" w:rsidR="00D131D9" w:rsidRPr="00B31835" w:rsidRDefault="00D131D9" w:rsidP="00D131D9">
      <w:pPr>
        <w:tabs>
          <w:tab w:val="left" w:pos="4320"/>
        </w:tabs>
        <w:spacing w:before="240"/>
      </w:pPr>
    </w:p>
    <w:p w14:paraId="1CC4D736" w14:textId="77777777" w:rsidR="00D131D9" w:rsidRPr="00B31835" w:rsidRDefault="00D131D9" w:rsidP="00D131D9">
      <w:pPr>
        <w:tabs>
          <w:tab w:val="left" w:pos="4320"/>
        </w:tabs>
        <w:spacing w:before="240"/>
      </w:pPr>
    </w:p>
    <w:p w14:paraId="4680F3BB" w14:textId="77777777" w:rsidR="00D131D9" w:rsidRPr="00B31835" w:rsidRDefault="00D131D9" w:rsidP="00D131D9">
      <w:pPr>
        <w:tabs>
          <w:tab w:val="left" w:pos="4320"/>
        </w:tabs>
        <w:spacing w:before="240"/>
      </w:pPr>
    </w:p>
    <w:p w14:paraId="5C1320DA" w14:textId="77777777" w:rsidR="00D131D9" w:rsidRPr="00B31835" w:rsidRDefault="00D131D9" w:rsidP="00D131D9">
      <w:pPr>
        <w:tabs>
          <w:tab w:val="left" w:pos="4320"/>
        </w:tabs>
        <w:spacing w:before="240"/>
      </w:pPr>
    </w:p>
    <w:p w14:paraId="64E035D1" w14:textId="77777777" w:rsidR="00D131D9" w:rsidRPr="00B31835" w:rsidRDefault="00D131D9" w:rsidP="00D131D9">
      <w:pPr>
        <w:tabs>
          <w:tab w:val="left" w:pos="4320"/>
        </w:tabs>
        <w:spacing w:before="240"/>
      </w:pPr>
    </w:p>
    <w:p w14:paraId="087D7EFA" w14:textId="77777777" w:rsidR="00D131D9" w:rsidRPr="00B31835" w:rsidRDefault="00D131D9" w:rsidP="00D131D9">
      <w:pPr>
        <w:tabs>
          <w:tab w:val="left" w:pos="4320"/>
        </w:tabs>
        <w:spacing w:before="240"/>
      </w:pPr>
    </w:p>
    <w:p w14:paraId="517CED73" w14:textId="77777777" w:rsidR="00D131D9" w:rsidRPr="00B31835" w:rsidRDefault="00D131D9" w:rsidP="00D131D9">
      <w:pPr>
        <w:tabs>
          <w:tab w:val="left" w:pos="4320"/>
        </w:tabs>
        <w:spacing w:before="240"/>
      </w:pPr>
    </w:p>
    <w:p w14:paraId="40AE2A32" w14:textId="77777777" w:rsidR="00D131D9" w:rsidRPr="00B31835" w:rsidRDefault="00D131D9" w:rsidP="00D131D9">
      <w:pPr>
        <w:tabs>
          <w:tab w:val="left" w:pos="4320"/>
        </w:tabs>
        <w:spacing w:before="240"/>
      </w:pPr>
    </w:p>
    <w:p w14:paraId="74959CB3" w14:textId="77777777" w:rsidR="00D131D9" w:rsidRPr="00B31835" w:rsidRDefault="00B31835" w:rsidP="00C153CF">
      <w:pPr>
        <w:tabs>
          <w:tab w:val="left" w:pos="4320"/>
        </w:tabs>
        <w:spacing w:before="240"/>
      </w:pPr>
      <w:bookmarkStart w:id="5" w:name="BLGFooterCursor"/>
      <w:r>
        <w:rPr>
          <w:sz w:val="16"/>
        </w:rPr>
        <w:t>71856848:v10</w:t>
      </w:r>
      <w:bookmarkEnd w:id="5"/>
    </w:p>
    <w:sectPr w:rsidR="00D131D9" w:rsidRPr="00B31835">
      <w:headerReference w:type="even" r:id="rId15"/>
      <w:headerReference w:type="default" r:id="rId16"/>
      <w:headerReference w:type="first" r:id="rId17"/>
      <w:pgSz w:w="12240" w:h="15840"/>
      <w:pgMar w:top="1440" w:right="1440" w:bottom="1008"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52510" w14:textId="77777777" w:rsidR="0095625F" w:rsidRPr="00B31835" w:rsidRDefault="0095625F">
      <w:r w:rsidRPr="00B31835">
        <w:separator/>
      </w:r>
    </w:p>
  </w:endnote>
  <w:endnote w:type="continuationSeparator" w:id="0">
    <w:p w14:paraId="177EFE33" w14:textId="77777777" w:rsidR="0095625F" w:rsidRPr="00B31835" w:rsidRDefault="0095625F">
      <w:r w:rsidRPr="00B318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C73A1" w14:textId="77777777" w:rsidR="00C22AFF" w:rsidRDefault="00C22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9E8D0" w14:textId="77777777" w:rsidR="00BC007E" w:rsidRDefault="00B31835" w:rsidP="00EE13F2">
    <w:pPr>
      <w:pStyle w:val="Footer"/>
      <w:numPr>
        <w:ilvl w:val="0"/>
        <w:numId w:val="23"/>
      </w:numPr>
      <w:ind w:left="426"/>
      <w:jc w:val="both"/>
      <w:rPr>
        <w:sz w:val="16"/>
        <w:szCs w:val="22"/>
      </w:rPr>
    </w:pPr>
    <w:r>
      <w:rPr>
        <w:sz w:val="16"/>
        <w:szCs w:val="22"/>
      </w:rPr>
      <w:t>Ce modèle a été élaboré sur la base des directives du Ministère publiées en juillet 2020. Il est fourni à titre d</w:t>
    </w:r>
    <w:r w:rsidR="00936EFC">
      <w:rPr>
        <w:sz w:val="16"/>
        <w:szCs w:val="22"/>
      </w:rPr>
      <w:t>’</w:t>
    </w:r>
    <w:r>
      <w:rPr>
        <w:sz w:val="16"/>
        <w:szCs w:val="22"/>
      </w:rPr>
      <w:t>information générale et ne constitue pas un avis juridique ou professionnel de quelque nature que ce soit.</w:t>
    </w:r>
  </w:p>
  <w:p w14:paraId="0AE53BA6" w14:textId="77777777" w:rsidR="00EE13F2" w:rsidRPr="00EE13F2" w:rsidRDefault="00EE13F2" w:rsidP="00EE13F2">
    <w:pPr>
      <w:pStyle w:val="Footer"/>
      <w:numPr>
        <w:ilvl w:val="0"/>
        <w:numId w:val="23"/>
      </w:numPr>
      <w:ind w:left="426"/>
      <w:jc w:val="both"/>
      <w:rPr>
        <w:sz w:val="16"/>
      </w:rPr>
    </w:pPr>
    <w:r w:rsidRPr="009D7D04">
      <w:rPr>
        <w:sz w:val="16"/>
      </w:rPr>
      <w:t>BLG a fourni la version anglaise de ce document. La traduction a été coordonnée par RISE et BLG n'est pas responsable de l'exactitude de la traduction française.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F3915" w14:textId="77777777" w:rsidR="00FD2DCC" w:rsidRDefault="00B31835" w:rsidP="00EE13F2">
    <w:pPr>
      <w:pStyle w:val="Footer"/>
      <w:numPr>
        <w:ilvl w:val="0"/>
        <w:numId w:val="23"/>
      </w:numPr>
      <w:ind w:left="426"/>
      <w:jc w:val="both"/>
      <w:rPr>
        <w:sz w:val="16"/>
        <w:szCs w:val="22"/>
      </w:rPr>
    </w:pPr>
    <w:r>
      <w:rPr>
        <w:sz w:val="16"/>
        <w:szCs w:val="22"/>
      </w:rPr>
      <w:t>Ce modèle a été élaboré sur la base des directives du Ministère publiées en juillet 2020. Il est fourni à titre d</w:t>
    </w:r>
    <w:r w:rsidR="00936EFC">
      <w:rPr>
        <w:sz w:val="16"/>
        <w:szCs w:val="22"/>
      </w:rPr>
      <w:t>’</w:t>
    </w:r>
    <w:r>
      <w:rPr>
        <w:sz w:val="16"/>
        <w:szCs w:val="22"/>
      </w:rPr>
      <w:t>information générale et ne constitue pas un avis juridique ou professionnel de quelque nature que ce soit.</w:t>
    </w:r>
  </w:p>
  <w:p w14:paraId="155D9C1F" w14:textId="77777777" w:rsidR="00EE13F2" w:rsidRPr="00EE13F2" w:rsidRDefault="00EE13F2" w:rsidP="00EE13F2">
    <w:pPr>
      <w:pStyle w:val="Footer"/>
      <w:numPr>
        <w:ilvl w:val="0"/>
        <w:numId w:val="23"/>
      </w:numPr>
      <w:ind w:left="426"/>
      <w:jc w:val="both"/>
      <w:rPr>
        <w:sz w:val="16"/>
      </w:rPr>
    </w:pPr>
    <w:r w:rsidRPr="009D7D04">
      <w:rPr>
        <w:sz w:val="16"/>
      </w:rPr>
      <w:t>BLG a fourni la version anglaise de ce document. La traduction a été coordonnée par RISE et BLG n'est pas responsable de l'exactitude de la traduction française.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F4D92" w14:textId="77777777" w:rsidR="0095625F" w:rsidRPr="00B31835" w:rsidRDefault="0095625F">
      <w:r w:rsidRPr="00B31835">
        <w:separator/>
      </w:r>
    </w:p>
  </w:footnote>
  <w:footnote w:type="continuationSeparator" w:id="0">
    <w:p w14:paraId="715E905A" w14:textId="77777777" w:rsidR="0095625F" w:rsidRPr="00B31835" w:rsidRDefault="0095625F">
      <w:r w:rsidRPr="00B318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F117E" w14:textId="77777777" w:rsidR="00BC007E" w:rsidRPr="00B31835" w:rsidRDefault="00BC007E">
    <w:pPr>
      <w:pStyle w:val="Header"/>
    </w:pPr>
  </w:p>
  <w:p w14:paraId="531EFAF8" w14:textId="77777777" w:rsidR="00BC007E" w:rsidRPr="00B31835" w:rsidRDefault="00BC00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B705C" w14:textId="77777777" w:rsidR="00BC007E" w:rsidRPr="00B31835" w:rsidRDefault="00B31835">
    <w:pPr>
      <w:pStyle w:val="Header"/>
      <w:jc w:val="center"/>
      <w:rPr>
        <w:rStyle w:val="PageNumber"/>
      </w:rPr>
    </w:pPr>
    <w:r>
      <w:rPr>
        <w:rStyle w:val="PageNumber"/>
      </w:rPr>
      <w:t xml:space="preserve">- </w:t>
    </w:r>
    <w:r w:rsidRPr="00B31835">
      <w:rPr>
        <w:rStyle w:val="PageNumber"/>
      </w:rPr>
      <w:fldChar w:fldCharType="begin"/>
    </w:r>
    <w:r w:rsidRPr="00B31835">
      <w:rPr>
        <w:rStyle w:val="PageNumber"/>
      </w:rPr>
      <w:instrText xml:space="preserve"> PAGE  \* MERGEFORMAT </w:instrText>
    </w:r>
    <w:r w:rsidRPr="00B31835">
      <w:rPr>
        <w:rStyle w:val="PageNumber"/>
      </w:rPr>
      <w:fldChar w:fldCharType="separate"/>
    </w:r>
    <w:r w:rsidR="000419D7" w:rsidRPr="00B31835">
      <w:rPr>
        <w:rStyle w:val="PageNumber"/>
      </w:rPr>
      <w:t>5</w:t>
    </w:r>
    <w:r w:rsidRPr="00B31835">
      <w:rPr>
        <w:rStyle w:val="PageNumber"/>
      </w:rPr>
      <w:fldChar w:fldCharType="end"/>
    </w:r>
    <w:r>
      <w:rPr>
        <w:rStyle w:val="PageNumber"/>
      </w:rPr>
      <w:t xml:space="preserve"> -</w:t>
    </w:r>
  </w:p>
  <w:p w14:paraId="58F23058" w14:textId="77777777" w:rsidR="00BC007E" w:rsidRPr="00B31835" w:rsidRDefault="00B31835" w:rsidP="0000612F">
    <w:pPr>
      <w:jc w:val="right"/>
    </w:pPr>
    <w:r>
      <w:rPr>
        <w:noProof/>
      </w:rPr>
      <w:drawing>
        <wp:inline distT="0" distB="0" distL="0" distR="0" wp14:anchorId="4C6D33B1" wp14:editId="1464E5CB">
          <wp:extent cx="977900" cy="379307"/>
          <wp:effectExtent l="0" t="0" r="0" b="1905"/>
          <wp:docPr id="2" name="Picture 2"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60068"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14:paraId="5E357F47" w14:textId="77777777" w:rsidR="0000612F" w:rsidRPr="00B31835" w:rsidRDefault="0000612F" w:rsidP="0000612F">
    <w:pPr>
      <w:jc w:val="right"/>
    </w:pPr>
  </w:p>
  <w:p w14:paraId="4560A26E" w14:textId="77777777" w:rsidR="0000612F" w:rsidRPr="00B31835" w:rsidRDefault="00B31835" w:rsidP="0000612F">
    <w:pPr>
      <w:jc w:val="right"/>
      <w:rPr>
        <w:b/>
      </w:rPr>
    </w:pPr>
    <w:r>
      <w:rPr>
        <w:b/>
      </w:rPr>
      <w:t>Juillet 2020</w:t>
    </w:r>
  </w:p>
  <w:p w14:paraId="2744356C" w14:textId="77777777" w:rsidR="0000612F" w:rsidRPr="00B31835" w:rsidRDefault="0000612F" w:rsidP="0000612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C55A8" w14:textId="77777777" w:rsidR="00715D9E" w:rsidRPr="00B31835" w:rsidRDefault="00B31835">
    <w:pPr>
      <w:pStyle w:val="Header"/>
      <w:jc w:val="right"/>
    </w:pPr>
    <w:bookmarkStart w:id="4" w:name="BLGLogo"/>
    <w:r>
      <w:rPr>
        <w:noProof/>
      </w:rPr>
      <w:drawing>
        <wp:inline distT="0" distB="0" distL="0" distR="0" wp14:anchorId="7DD06413" wp14:editId="3E9C2A1C">
          <wp:extent cx="977900" cy="379307"/>
          <wp:effectExtent l="0" t="0" r="0" b="1905"/>
          <wp:docPr id="1" name="Picture 1"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24196"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bookmarkEnd w:id="4"/>
  </w:p>
  <w:p w14:paraId="435EF68E" w14:textId="77777777" w:rsidR="00715D9E" w:rsidRPr="00B31835" w:rsidRDefault="00715D9E">
    <w:pPr>
      <w:pStyle w:val="Header"/>
      <w:jc w:val="right"/>
    </w:pPr>
  </w:p>
  <w:p w14:paraId="2D258E56" w14:textId="77777777" w:rsidR="00BC007E" w:rsidRPr="00B31835" w:rsidRDefault="00B31835">
    <w:pPr>
      <w:pStyle w:val="Header"/>
      <w:jc w:val="right"/>
      <w:rPr>
        <w:b/>
      </w:rPr>
    </w:pPr>
    <w:r>
      <w:rPr>
        <w:b/>
      </w:rPr>
      <w:t>Juillet 2020</w:t>
    </w:r>
  </w:p>
  <w:p w14:paraId="14D25089" w14:textId="77777777" w:rsidR="00715D9E" w:rsidRPr="00B31835" w:rsidRDefault="00715D9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768A0" w14:textId="77777777" w:rsidR="00EA5EA1" w:rsidRPr="00B31835" w:rsidRDefault="00EA5E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81BE" w14:textId="77777777" w:rsidR="00EA5EA1" w:rsidRPr="00B31835" w:rsidRDefault="00EA5E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B35C5" w14:textId="77777777" w:rsidR="0000612F" w:rsidRPr="00B31835" w:rsidRDefault="00B31835" w:rsidP="0000612F">
    <w:pPr>
      <w:pStyle w:val="Header"/>
      <w:jc w:val="right"/>
      <w:rPr>
        <w:b/>
      </w:rPr>
    </w:pPr>
    <w:r>
      <w:rPr>
        <w:noProof/>
      </w:rPr>
      <w:drawing>
        <wp:inline distT="0" distB="0" distL="0" distR="0" wp14:anchorId="08083BBB" wp14:editId="3EE83A51">
          <wp:extent cx="977900" cy="379307"/>
          <wp:effectExtent l="0" t="0" r="0" b="1905"/>
          <wp:docPr id="3" name="Picture 3"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80627"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14:paraId="2E6A7B3E" w14:textId="77777777" w:rsidR="0000612F" w:rsidRPr="00B31835" w:rsidRDefault="0000612F" w:rsidP="0000612F">
    <w:pPr>
      <w:pStyle w:val="Header"/>
      <w:jc w:val="right"/>
      <w:rPr>
        <w:b/>
      </w:rPr>
    </w:pPr>
  </w:p>
  <w:p w14:paraId="4606C799" w14:textId="77777777" w:rsidR="00766F01" w:rsidRPr="00B31835" w:rsidRDefault="00B31835" w:rsidP="0000612F">
    <w:pPr>
      <w:pStyle w:val="Header"/>
      <w:jc w:val="right"/>
      <w:rPr>
        <w:b/>
      </w:rPr>
    </w:pPr>
    <w:r>
      <w:rPr>
        <w:b/>
      </w:rPr>
      <w:t>Juillet 2020</w:t>
    </w:r>
  </w:p>
  <w:p w14:paraId="0D241CC4" w14:textId="77777777" w:rsidR="0000612F" w:rsidRPr="00B31835" w:rsidRDefault="0000612F" w:rsidP="000061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7C29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0C2A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D85D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8CDF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3625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CFF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A625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E0DF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68A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249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21DF6"/>
    <w:multiLevelType w:val="multilevel"/>
    <w:tmpl w:val="32FE91B2"/>
    <w:name w:val="zzmpArticle||Article|2|4|1|4|0|41||1|0|33||1|0|32||1|0|32||1|0|32||1|0|32||1|0|32||1|0|32||1|0|32||"/>
    <w:lvl w:ilvl="0">
      <w:start w:val="1"/>
      <w:numFmt w:val="decimal"/>
      <w:pStyle w:val="ArticleL1"/>
      <w:suff w:val="nothing"/>
      <w:lvlText w:val="ARTICLE %1"/>
      <w:lvlJc w:val="left"/>
      <w:pPr>
        <w:tabs>
          <w:tab w:val="num" w:pos="567"/>
        </w:tabs>
        <w:ind w:left="567" w:firstLine="0"/>
      </w:pPr>
      <w:rPr>
        <w:rFonts w:ascii="Times New Roman" w:hAnsi="Times New Roman" w:cs="Times New Roman"/>
        <w:b/>
        <w:i w:val="0"/>
        <w:sz w:val="24"/>
        <w:u w:val="none"/>
      </w:rPr>
    </w:lvl>
    <w:lvl w:ilvl="1">
      <w:start w:val="1"/>
      <w:numFmt w:val="decimal"/>
      <w:pStyle w:val="ArticleL2"/>
      <w:lvlText w:val="%1.%2"/>
      <w:lvlJc w:val="left"/>
      <w:pPr>
        <w:tabs>
          <w:tab w:val="num" w:pos="720"/>
        </w:tabs>
        <w:ind w:left="720" w:hanging="720"/>
      </w:pPr>
      <w:rPr>
        <w:rFonts w:ascii="Times New Roman" w:hAnsi="Times New Roman" w:cs="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1440"/>
        </w:tabs>
        <w:ind w:left="144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160"/>
        </w:tabs>
        <w:ind w:left="2160" w:hanging="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2880"/>
        </w:tabs>
        <w:ind w:left="2880" w:hanging="720"/>
      </w:pPr>
      <w:rPr>
        <w:rFonts w:ascii="Times New Roman" w:hAnsi="Times New Roman" w:cs="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3600"/>
        </w:tabs>
        <w:ind w:left="3600" w:hanging="720"/>
      </w:pPr>
      <w:rPr>
        <w:rFonts w:ascii="Times New Roman" w:hAnsi="Times New Roman" w:cs="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ArticleL7"/>
      <w:lvlText w:val="%7."/>
      <w:lvlJc w:val="left"/>
      <w:pPr>
        <w:tabs>
          <w:tab w:val="num" w:pos="4320"/>
        </w:tabs>
        <w:ind w:left="4320" w:hanging="720"/>
      </w:pPr>
      <w:rPr>
        <w:rFonts w:ascii="Times New Roman" w:hAnsi="Times New Roman" w:cs="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ArticleL8"/>
      <w:lvlText w:val="%8."/>
      <w:lvlJc w:val="left"/>
      <w:pPr>
        <w:tabs>
          <w:tab w:val="num" w:pos="5040"/>
        </w:tabs>
        <w:ind w:left="5040" w:hanging="720"/>
      </w:pPr>
      <w:rPr>
        <w:rFonts w:ascii="Times New Roman" w:hAnsi="Times New Roman" w:cs="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ArticleL9"/>
      <w:lvlText w:val="%9."/>
      <w:lvlJc w:val="left"/>
      <w:pPr>
        <w:tabs>
          <w:tab w:val="num" w:pos="5760"/>
        </w:tabs>
        <w:ind w:left="5760" w:hanging="720"/>
      </w:pPr>
      <w:rPr>
        <w:rFonts w:ascii="Times New Roman" w:hAnsi="Times New Roman" w:cs="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0744B4D"/>
    <w:multiLevelType w:val="hybridMultilevel"/>
    <w:tmpl w:val="C74A01E2"/>
    <w:lvl w:ilvl="0" w:tplc="57826D56">
      <w:start w:val="1"/>
      <w:numFmt w:val="decimal"/>
      <w:lvlText w:val="%1."/>
      <w:lvlJc w:val="left"/>
      <w:pPr>
        <w:ind w:left="720" w:hanging="360"/>
      </w:pPr>
      <w:rPr>
        <w:rFonts w:hint="default"/>
        <w:b/>
      </w:rPr>
    </w:lvl>
    <w:lvl w:ilvl="1" w:tplc="012C2BCE" w:tentative="1">
      <w:start w:val="1"/>
      <w:numFmt w:val="lowerLetter"/>
      <w:lvlText w:val="%2."/>
      <w:lvlJc w:val="left"/>
      <w:pPr>
        <w:ind w:left="1440" w:hanging="360"/>
      </w:pPr>
    </w:lvl>
    <w:lvl w:ilvl="2" w:tplc="D4D6B1F6" w:tentative="1">
      <w:start w:val="1"/>
      <w:numFmt w:val="lowerRoman"/>
      <w:lvlText w:val="%3."/>
      <w:lvlJc w:val="right"/>
      <w:pPr>
        <w:ind w:left="2160" w:hanging="180"/>
      </w:pPr>
    </w:lvl>
    <w:lvl w:ilvl="3" w:tplc="B27E3C46" w:tentative="1">
      <w:start w:val="1"/>
      <w:numFmt w:val="decimal"/>
      <w:lvlText w:val="%4."/>
      <w:lvlJc w:val="left"/>
      <w:pPr>
        <w:ind w:left="2880" w:hanging="360"/>
      </w:pPr>
    </w:lvl>
    <w:lvl w:ilvl="4" w:tplc="B9CC6758" w:tentative="1">
      <w:start w:val="1"/>
      <w:numFmt w:val="lowerLetter"/>
      <w:lvlText w:val="%5."/>
      <w:lvlJc w:val="left"/>
      <w:pPr>
        <w:ind w:left="3600" w:hanging="360"/>
      </w:pPr>
    </w:lvl>
    <w:lvl w:ilvl="5" w:tplc="0130085C" w:tentative="1">
      <w:start w:val="1"/>
      <w:numFmt w:val="lowerRoman"/>
      <w:lvlText w:val="%6."/>
      <w:lvlJc w:val="right"/>
      <w:pPr>
        <w:ind w:left="4320" w:hanging="180"/>
      </w:pPr>
    </w:lvl>
    <w:lvl w:ilvl="6" w:tplc="FF12FC3C" w:tentative="1">
      <w:start w:val="1"/>
      <w:numFmt w:val="decimal"/>
      <w:lvlText w:val="%7."/>
      <w:lvlJc w:val="left"/>
      <w:pPr>
        <w:ind w:left="5040" w:hanging="360"/>
      </w:pPr>
    </w:lvl>
    <w:lvl w:ilvl="7" w:tplc="277652DA" w:tentative="1">
      <w:start w:val="1"/>
      <w:numFmt w:val="lowerLetter"/>
      <w:lvlText w:val="%8."/>
      <w:lvlJc w:val="left"/>
      <w:pPr>
        <w:ind w:left="5760" w:hanging="360"/>
      </w:pPr>
    </w:lvl>
    <w:lvl w:ilvl="8" w:tplc="D69CAC6C" w:tentative="1">
      <w:start w:val="1"/>
      <w:numFmt w:val="lowerRoman"/>
      <w:lvlText w:val="%9."/>
      <w:lvlJc w:val="right"/>
      <w:pPr>
        <w:ind w:left="6480" w:hanging="180"/>
      </w:pPr>
    </w:lvl>
  </w:abstractNum>
  <w:abstractNum w:abstractNumId="12" w15:restartNumberingAfterBreak="0">
    <w:nsid w:val="25235799"/>
    <w:multiLevelType w:val="hybridMultilevel"/>
    <w:tmpl w:val="8362EF10"/>
    <w:lvl w:ilvl="0" w:tplc="4BF0C6AE">
      <w:start w:val="1"/>
      <w:numFmt w:val="decimal"/>
      <w:lvlText w:val="%1."/>
      <w:lvlJc w:val="left"/>
      <w:pPr>
        <w:tabs>
          <w:tab w:val="num" w:pos="720"/>
        </w:tabs>
        <w:ind w:left="720" w:hanging="720"/>
      </w:pPr>
      <w:rPr>
        <w:rFonts w:hint="default"/>
      </w:rPr>
    </w:lvl>
    <w:lvl w:ilvl="1" w:tplc="7D80FEEE" w:tentative="1">
      <w:start w:val="1"/>
      <w:numFmt w:val="lowerLetter"/>
      <w:lvlText w:val="%2."/>
      <w:lvlJc w:val="left"/>
      <w:pPr>
        <w:tabs>
          <w:tab w:val="num" w:pos="1440"/>
        </w:tabs>
        <w:ind w:left="1440" w:hanging="360"/>
      </w:pPr>
    </w:lvl>
    <w:lvl w:ilvl="2" w:tplc="A600CBF4" w:tentative="1">
      <w:start w:val="1"/>
      <w:numFmt w:val="lowerRoman"/>
      <w:lvlText w:val="%3."/>
      <w:lvlJc w:val="right"/>
      <w:pPr>
        <w:tabs>
          <w:tab w:val="num" w:pos="2160"/>
        </w:tabs>
        <w:ind w:left="2160" w:hanging="180"/>
      </w:pPr>
    </w:lvl>
    <w:lvl w:ilvl="3" w:tplc="C3F882B0" w:tentative="1">
      <w:start w:val="1"/>
      <w:numFmt w:val="decimal"/>
      <w:lvlText w:val="%4."/>
      <w:lvlJc w:val="left"/>
      <w:pPr>
        <w:tabs>
          <w:tab w:val="num" w:pos="2880"/>
        </w:tabs>
        <w:ind w:left="2880" w:hanging="360"/>
      </w:pPr>
    </w:lvl>
    <w:lvl w:ilvl="4" w:tplc="08922936" w:tentative="1">
      <w:start w:val="1"/>
      <w:numFmt w:val="lowerLetter"/>
      <w:lvlText w:val="%5."/>
      <w:lvlJc w:val="left"/>
      <w:pPr>
        <w:tabs>
          <w:tab w:val="num" w:pos="3600"/>
        </w:tabs>
        <w:ind w:left="3600" w:hanging="360"/>
      </w:pPr>
    </w:lvl>
    <w:lvl w:ilvl="5" w:tplc="58423B02" w:tentative="1">
      <w:start w:val="1"/>
      <w:numFmt w:val="lowerRoman"/>
      <w:lvlText w:val="%6."/>
      <w:lvlJc w:val="right"/>
      <w:pPr>
        <w:tabs>
          <w:tab w:val="num" w:pos="4320"/>
        </w:tabs>
        <w:ind w:left="4320" w:hanging="180"/>
      </w:pPr>
    </w:lvl>
    <w:lvl w:ilvl="6" w:tplc="4AC866DA" w:tentative="1">
      <w:start w:val="1"/>
      <w:numFmt w:val="decimal"/>
      <w:lvlText w:val="%7."/>
      <w:lvlJc w:val="left"/>
      <w:pPr>
        <w:tabs>
          <w:tab w:val="num" w:pos="5040"/>
        </w:tabs>
        <w:ind w:left="5040" w:hanging="360"/>
      </w:pPr>
    </w:lvl>
    <w:lvl w:ilvl="7" w:tplc="451829CE" w:tentative="1">
      <w:start w:val="1"/>
      <w:numFmt w:val="lowerLetter"/>
      <w:lvlText w:val="%8."/>
      <w:lvlJc w:val="left"/>
      <w:pPr>
        <w:tabs>
          <w:tab w:val="num" w:pos="5760"/>
        </w:tabs>
        <w:ind w:left="5760" w:hanging="360"/>
      </w:pPr>
    </w:lvl>
    <w:lvl w:ilvl="8" w:tplc="1BEC7014" w:tentative="1">
      <w:start w:val="1"/>
      <w:numFmt w:val="lowerRoman"/>
      <w:lvlText w:val="%9."/>
      <w:lvlJc w:val="right"/>
      <w:pPr>
        <w:tabs>
          <w:tab w:val="num" w:pos="6480"/>
        </w:tabs>
        <w:ind w:left="6480" w:hanging="180"/>
      </w:pPr>
    </w:lvl>
  </w:abstractNum>
  <w:abstractNum w:abstractNumId="13" w15:restartNumberingAfterBreak="0">
    <w:nsid w:val="52316412"/>
    <w:multiLevelType w:val="hybridMultilevel"/>
    <w:tmpl w:val="B0D08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218A6"/>
    <w:multiLevelType w:val="hybridMultilevel"/>
    <w:tmpl w:val="B74EB334"/>
    <w:lvl w:ilvl="0" w:tplc="6BD8D908">
      <w:start w:val="1"/>
      <w:numFmt w:val="decimal"/>
      <w:lvlText w:val="%1."/>
      <w:lvlJc w:val="left"/>
      <w:pPr>
        <w:tabs>
          <w:tab w:val="num" w:pos="720"/>
        </w:tabs>
        <w:ind w:left="720" w:hanging="720"/>
      </w:pPr>
      <w:rPr>
        <w:rFonts w:hint="default"/>
      </w:rPr>
    </w:lvl>
    <w:lvl w:ilvl="1" w:tplc="BD8E72D2" w:tentative="1">
      <w:start w:val="1"/>
      <w:numFmt w:val="lowerLetter"/>
      <w:lvlText w:val="%2."/>
      <w:lvlJc w:val="left"/>
      <w:pPr>
        <w:tabs>
          <w:tab w:val="num" w:pos="1440"/>
        </w:tabs>
        <w:ind w:left="1440" w:hanging="360"/>
      </w:pPr>
    </w:lvl>
    <w:lvl w:ilvl="2" w:tplc="4C388C8E" w:tentative="1">
      <w:start w:val="1"/>
      <w:numFmt w:val="lowerRoman"/>
      <w:lvlText w:val="%3."/>
      <w:lvlJc w:val="right"/>
      <w:pPr>
        <w:tabs>
          <w:tab w:val="num" w:pos="2160"/>
        </w:tabs>
        <w:ind w:left="2160" w:hanging="180"/>
      </w:pPr>
    </w:lvl>
    <w:lvl w:ilvl="3" w:tplc="D06C56E0" w:tentative="1">
      <w:start w:val="1"/>
      <w:numFmt w:val="decimal"/>
      <w:lvlText w:val="%4."/>
      <w:lvlJc w:val="left"/>
      <w:pPr>
        <w:tabs>
          <w:tab w:val="num" w:pos="2880"/>
        </w:tabs>
        <w:ind w:left="2880" w:hanging="360"/>
      </w:pPr>
    </w:lvl>
    <w:lvl w:ilvl="4" w:tplc="34CCD252" w:tentative="1">
      <w:start w:val="1"/>
      <w:numFmt w:val="lowerLetter"/>
      <w:lvlText w:val="%5."/>
      <w:lvlJc w:val="left"/>
      <w:pPr>
        <w:tabs>
          <w:tab w:val="num" w:pos="3600"/>
        </w:tabs>
        <w:ind w:left="3600" w:hanging="360"/>
      </w:pPr>
    </w:lvl>
    <w:lvl w:ilvl="5" w:tplc="18ACC2CE" w:tentative="1">
      <w:start w:val="1"/>
      <w:numFmt w:val="lowerRoman"/>
      <w:lvlText w:val="%6."/>
      <w:lvlJc w:val="right"/>
      <w:pPr>
        <w:tabs>
          <w:tab w:val="num" w:pos="4320"/>
        </w:tabs>
        <w:ind w:left="4320" w:hanging="180"/>
      </w:pPr>
    </w:lvl>
    <w:lvl w:ilvl="6" w:tplc="13BED48E" w:tentative="1">
      <w:start w:val="1"/>
      <w:numFmt w:val="decimal"/>
      <w:lvlText w:val="%7."/>
      <w:lvlJc w:val="left"/>
      <w:pPr>
        <w:tabs>
          <w:tab w:val="num" w:pos="5040"/>
        </w:tabs>
        <w:ind w:left="5040" w:hanging="360"/>
      </w:pPr>
    </w:lvl>
    <w:lvl w:ilvl="7" w:tplc="D910E194" w:tentative="1">
      <w:start w:val="1"/>
      <w:numFmt w:val="lowerLetter"/>
      <w:lvlText w:val="%8."/>
      <w:lvlJc w:val="left"/>
      <w:pPr>
        <w:tabs>
          <w:tab w:val="num" w:pos="5760"/>
        </w:tabs>
        <w:ind w:left="5760" w:hanging="360"/>
      </w:pPr>
    </w:lvl>
    <w:lvl w:ilvl="8" w:tplc="8DF092DC"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DB"/>
    <w:rsid w:val="00003AC2"/>
    <w:rsid w:val="0000612F"/>
    <w:rsid w:val="000077A3"/>
    <w:rsid w:val="000419D7"/>
    <w:rsid w:val="00083D8A"/>
    <w:rsid w:val="0009787A"/>
    <w:rsid w:val="000A119F"/>
    <w:rsid w:val="000A5842"/>
    <w:rsid w:val="000D67B6"/>
    <w:rsid w:val="000E44F7"/>
    <w:rsid w:val="000F3072"/>
    <w:rsid w:val="00113201"/>
    <w:rsid w:val="001342EE"/>
    <w:rsid w:val="00135792"/>
    <w:rsid w:val="001B50F2"/>
    <w:rsid w:val="001C2E9C"/>
    <w:rsid w:val="001C31AC"/>
    <w:rsid w:val="001D6343"/>
    <w:rsid w:val="001E45AC"/>
    <w:rsid w:val="0021788B"/>
    <w:rsid w:val="00271853"/>
    <w:rsid w:val="0027283F"/>
    <w:rsid w:val="002A0924"/>
    <w:rsid w:val="002A0DA3"/>
    <w:rsid w:val="002D5C3E"/>
    <w:rsid w:val="00323CDB"/>
    <w:rsid w:val="003339BE"/>
    <w:rsid w:val="00360CFD"/>
    <w:rsid w:val="00363BCC"/>
    <w:rsid w:val="003A03B9"/>
    <w:rsid w:val="003A2E7B"/>
    <w:rsid w:val="003D47E6"/>
    <w:rsid w:val="003D4F2B"/>
    <w:rsid w:val="00402AF4"/>
    <w:rsid w:val="00411EF3"/>
    <w:rsid w:val="00462A1A"/>
    <w:rsid w:val="004A4F73"/>
    <w:rsid w:val="004E7CDF"/>
    <w:rsid w:val="004F32DB"/>
    <w:rsid w:val="004F636B"/>
    <w:rsid w:val="0053475A"/>
    <w:rsid w:val="0057131A"/>
    <w:rsid w:val="00575D9C"/>
    <w:rsid w:val="00596A7C"/>
    <w:rsid w:val="005A3FC0"/>
    <w:rsid w:val="005B2985"/>
    <w:rsid w:val="005B5704"/>
    <w:rsid w:val="00615933"/>
    <w:rsid w:val="00635C19"/>
    <w:rsid w:val="006850AC"/>
    <w:rsid w:val="006C0B0D"/>
    <w:rsid w:val="006C0F89"/>
    <w:rsid w:val="006F01E3"/>
    <w:rsid w:val="00715D9E"/>
    <w:rsid w:val="007174E1"/>
    <w:rsid w:val="007368B0"/>
    <w:rsid w:val="007528F6"/>
    <w:rsid w:val="00757273"/>
    <w:rsid w:val="00763E59"/>
    <w:rsid w:val="00766F01"/>
    <w:rsid w:val="007B4F02"/>
    <w:rsid w:val="007B7EF9"/>
    <w:rsid w:val="007E1FBE"/>
    <w:rsid w:val="007E3F0E"/>
    <w:rsid w:val="007F68C9"/>
    <w:rsid w:val="0082599F"/>
    <w:rsid w:val="008260D0"/>
    <w:rsid w:val="00850F99"/>
    <w:rsid w:val="00853D95"/>
    <w:rsid w:val="008556F7"/>
    <w:rsid w:val="00860BBF"/>
    <w:rsid w:val="008677C8"/>
    <w:rsid w:val="008738A1"/>
    <w:rsid w:val="00874577"/>
    <w:rsid w:val="008806AD"/>
    <w:rsid w:val="00885EA8"/>
    <w:rsid w:val="008C351F"/>
    <w:rsid w:val="008D7997"/>
    <w:rsid w:val="009028B8"/>
    <w:rsid w:val="00906BB3"/>
    <w:rsid w:val="00911E04"/>
    <w:rsid w:val="00936EFC"/>
    <w:rsid w:val="0095625F"/>
    <w:rsid w:val="00957BB8"/>
    <w:rsid w:val="00982E4E"/>
    <w:rsid w:val="0098690C"/>
    <w:rsid w:val="009A53D1"/>
    <w:rsid w:val="009C53BA"/>
    <w:rsid w:val="009D718B"/>
    <w:rsid w:val="009E2D57"/>
    <w:rsid w:val="00A00E60"/>
    <w:rsid w:val="00A02D05"/>
    <w:rsid w:val="00A4267A"/>
    <w:rsid w:val="00A6261D"/>
    <w:rsid w:val="00A641CF"/>
    <w:rsid w:val="00A8667D"/>
    <w:rsid w:val="00AA4143"/>
    <w:rsid w:val="00AC55A7"/>
    <w:rsid w:val="00AF6A62"/>
    <w:rsid w:val="00B31835"/>
    <w:rsid w:val="00B960D7"/>
    <w:rsid w:val="00BA3408"/>
    <w:rsid w:val="00BA6481"/>
    <w:rsid w:val="00BC007E"/>
    <w:rsid w:val="00BD6E80"/>
    <w:rsid w:val="00BE41C6"/>
    <w:rsid w:val="00C153CF"/>
    <w:rsid w:val="00C2120B"/>
    <w:rsid w:val="00C22AFF"/>
    <w:rsid w:val="00C306D9"/>
    <w:rsid w:val="00C42B86"/>
    <w:rsid w:val="00C51DA0"/>
    <w:rsid w:val="00C52EDB"/>
    <w:rsid w:val="00C82B5A"/>
    <w:rsid w:val="00C90692"/>
    <w:rsid w:val="00C95A1C"/>
    <w:rsid w:val="00CA071E"/>
    <w:rsid w:val="00CA6401"/>
    <w:rsid w:val="00CC3FBB"/>
    <w:rsid w:val="00CE12AB"/>
    <w:rsid w:val="00CE1B4F"/>
    <w:rsid w:val="00D00032"/>
    <w:rsid w:val="00D0131D"/>
    <w:rsid w:val="00D131D9"/>
    <w:rsid w:val="00D261FF"/>
    <w:rsid w:val="00D32385"/>
    <w:rsid w:val="00D54D33"/>
    <w:rsid w:val="00D55276"/>
    <w:rsid w:val="00D60816"/>
    <w:rsid w:val="00D60BB5"/>
    <w:rsid w:val="00D70D46"/>
    <w:rsid w:val="00D93228"/>
    <w:rsid w:val="00D97EEC"/>
    <w:rsid w:val="00DB038B"/>
    <w:rsid w:val="00DB7C0D"/>
    <w:rsid w:val="00DC75E9"/>
    <w:rsid w:val="00DD2708"/>
    <w:rsid w:val="00DD2946"/>
    <w:rsid w:val="00DF68CB"/>
    <w:rsid w:val="00E02AB3"/>
    <w:rsid w:val="00E1203A"/>
    <w:rsid w:val="00E15E46"/>
    <w:rsid w:val="00E26071"/>
    <w:rsid w:val="00E476A9"/>
    <w:rsid w:val="00E5491C"/>
    <w:rsid w:val="00EA5EA1"/>
    <w:rsid w:val="00EB220F"/>
    <w:rsid w:val="00ED3C96"/>
    <w:rsid w:val="00ED5799"/>
    <w:rsid w:val="00EE13F2"/>
    <w:rsid w:val="00F22EA1"/>
    <w:rsid w:val="00F27D46"/>
    <w:rsid w:val="00F45DF5"/>
    <w:rsid w:val="00F529BC"/>
    <w:rsid w:val="00F643D9"/>
    <w:rsid w:val="00FB23E5"/>
    <w:rsid w:val="00FC513F"/>
    <w:rsid w:val="00FD295C"/>
    <w:rsid w:val="00FD2DCC"/>
    <w:rsid w:val="00FE4EBB"/>
    <w:rsid w:val="00FF4941"/>
    <w:rsid w:val="260E21DB"/>
    <w:rsid w:val="270A8DB1"/>
    <w:rsid w:val="316826AE"/>
    <w:rsid w:val="40A9EFB6"/>
    <w:rsid w:val="6FD2AD79"/>
    <w:rsid w:val="78AAB8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705A82F"/>
  <w15:chartTrackingRefBased/>
  <w15:docId w15:val="{5BBB24F9-2B36-4C1B-8F54-2D261DBC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pPr>
      <w:spacing w:after="240"/>
      <w:jc w:val="both"/>
    </w:pPr>
  </w:style>
  <w:style w:type="paragraph" w:styleId="Footer">
    <w:name w:val="footer"/>
    <w:basedOn w:val="Normal"/>
    <w:link w:val="FooterChar"/>
    <w:uiPriority w:val="99"/>
    <w:pPr>
      <w:tabs>
        <w:tab w:val="center" w:pos="4680"/>
        <w:tab w:val="right" w:pos="9360"/>
      </w:tabs>
    </w:pPr>
  </w:style>
  <w:style w:type="paragraph" w:styleId="FootnoteText">
    <w:name w:val="footnote text"/>
    <w:basedOn w:val="Normal"/>
    <w:semiHidden/>
    <w:pPr>
      <w:spacing w:after="200"/>
      <w:ind w:left="360" w:hanging="360"/>
      <w:jc w:val="both"/>
    </w:pPr>
    <w:rPr>
      <w:sz w:val="20"/>
    </w:rPr>
  </w:style>
  <w:style w:type="paragraph" w:styleId="Header">
    <w:name w:val="header"/>
    <w:basedOn w:val="Normal"/>
    <w:pPr>
      <w:tabs>
        <w:tab w:val="center" w:pos="4680"/>
        <w:tab w:val="right" w:pos="9360"/>
      </w:tabs>
    </w:pPr>
  </w:style>
  <w:style w:type="paragraph" w:customStyle="1" w:styleId="OHHHanging">
    <w:name w:val="OHHHanging"/>
    <w:aliases w:val="H"/>
    <w:basedOn w:val="OHHpara"/>
    <w:pPr>
      <w:ind w:left="720" w:hanging="720"/>
    </w:pPr>
  </w:style>
  <w:style w:type="paragraph" w:customStyle="1" w:styleId="OHHCentre">
    <w:name w:val="OHHCentre"/>
    <w:aliases w:val="C"/>
    <w:basedOn w:val="OHHpara"/>
    <w:pPr>
      <w:jc w:val="center"/>
    </w:pPr>
  </w:style>
  <w:style w:type="paragraph" w:customStyle="1" w:styleId="OHHLeft">
    <w:name w:val="OHHLeft"/>
    <w:aliases w:val="L"/>
    <w:basedOn w:val="OHHpara"/>
    <w:pPr>
      <w:jc w:val="left"/>
    </w:pPr>
  </w:style>
  <w:style w:type="paragraph" w:customStyle="1" w:styleId="OHHLR">
    <w:name w:val="OHHLR"/>
    <w:aliases w:val="LR"/>
    <w:basedOn w:val="OHHpara"/>
    <w:pPr>
      <w:ind w:left="720" w:right="720"/>
    </w:pPr>
  </w:style>
  <w:style w:type="paragraph" w:customStyle="1" w:styleId="OHHLR2">
    <w:name w:val="OHHLR2"/>
    <w:aliases w:val="LR2"/>
    <w:basedOn w:val="OHHpara"/>
    <w:pPr>
      <w:ind w:left="1440" w:right="1440"/>
    </w:pPr>
  </w:style>
  <w:style w:type="paragraph" w:customStyle="1" w:styleId="OHHMainHeading">
    <w:name w:val="OHHMainHeading"/>
    <w:aliases w:val="OMH"/>
    <w:basedOn w:val="OHHpara"/>
    <w:next w:val="OHHpara"/>
    <w:pPr>
      <w:keepNext/>
      <w:keepLines/>
      <w:spacing w:before="120"/>
      <w:jc w:val="center"/>
      <w:outlineLvl w:val="0"/>
    </w:pPr>
    <w:rPr>
      <w:b/>
      <w:caps/>
      <w:u w:val="single"/>
    </w:rPr>
  </w:style>
  <w:style w:type="paragraph" w:customStyle="1" w:styleId="OHHpara1">
    <w:name w:val="OHHpara1"/>
    <w:aliases w:val="1"/>
    <w:basedOn w:val="OHHpara"/>
    <w:pPr>
      <w:ind w:left="720"/>
    </w:pPr>
  </w:style>
  <w:style w:type="paragraph" w:customStyle="1" w:styleId="OHHpara2">
    <w:name w:val="OHHpara2"/>
    <w:aliases w:val="2"/>
    <w:basedOn w:val="OHHpara"/>
    <w:pPr>
      <w:ind w:left="1440"/>
    </w:pPr>
  </w:style>
  <w:style w:type="paragraph" w:customStyle="1" w:styleId="OHHpara3">
    <w:name w:val="OHHpara3"/>
    <w:aliases w:val="3"/>
    <w:basedOn w:val="OHHpara"/>
    <w:pPr>
      <w:ind w:left="2160"/>
    </w:pPr>
  </w:style>
  <w:style w:type="paragraph" w:customStyle="1" w:styleId="OHHpara4">
    <w:name w:val="OHHpara4"/>
    <w:aliases w:val="4"/>
    <w:basedOn w:val="OHHpara"/>
    <w:pPr>
      <w:ind w:left="2880"/>
    </w:pPr>
  </w:style>
  <w:style w:type="paragraph" w:customStyle="1" w:styleId="OHHpara5">
    <w:name w:val="OHHpara5"/>
    <w:aliases w:val="5"/>
    <w:basedOn w:val="OHHpara"/>
    <w:pPr>
      <w:ind w:left="3600"/>
    </w:pPr>
  </w:style>
  <w:style w:type="paragraph" w:customStyle="1" w:styleId="OHHPlain">
    <w:name w:val="OHHPlain"/>
    <w:basedOn w:val="Normal"/>
  </w:style>
  <w:style w:type="paragraph" w:customStyle="1" w:styleId="OHHQuote">
    <w:name w:val="OHHQuote"/>
    <w:aliases w:val="Q"/>
    <w:basedOn w:val="Normal"/>
    <w:pPr>
      <w:spacing w:after="240"/>
      <w:ind w:left="1440" w:right="1440"/>
      <w:jc w:val="both"/>
    </w:pPr>
    <w:rPr>
      <w:sz w:val="20"/>
    </w:rPr>
  </w:style>
  <w:style w:type="paragraph" w:customStyle="1" w:styleId="OHHReference">
    <w:name w:val="OHHReference"/>
    <w:aliases w:val="Ref"/>
    <w:basedOn w:val="OHHQuote"/>
    <w:rPr>
      <w:b/>
    </w:rPr>
  </w:style>
  <w:style w:type="paragraph" w:customStyle="1" w:styleId="OHHRight">
    <w:name w:val="OHHRight"/>
    <w:aliases w:val="R"/>
    <w:basedOn w:val="OHHpara"/>
    <w:pPr>
      <w:jc w:val="right"/>
    </w:pPr>
  </w:style>
  <w:style w:type="paragraph" w:customStyle="1" w:styleId="OHHSubHeading">
    <w:name w:val="OHHSubHeading"/>
    <w:aliases w:val="OSH"/>
    <w:basedOn w:val="OHHpara"/>
    <w:next w:val="OHHpara"/>
    <w:pPr>
      <w:keepNext/>
      <w:keepLines/>
      <w:spacing w:before="120"/>
      <w:jc w:val="left"/>
      <w:outlineLvl w:val="1"/>
    </w:pPr>
    <w:rPr>
      <w:b/>
      <w:u w:val="single"/>
    </w:rPr>
  </w:style>
  <w:style w:type="paragraph" w:customStyle="1" w:styleId="OHHTab">
    <w:name w:val="OHHTab"/>
    <w:aliases w:val="T"/>
    <w:basedOn w:val="OHHpara"/>
    <w:pPr>
      <w:ind w:firstLine="720"/>
    </w:pPr>
  </w:style>
  <w:style w:type="paragraph" w:customStyle="1" w:styleId="OHHTab2">
    <w:name w:val="OHHTab2"/>
    <w:aliases w:val="T2"/>
    <w:basedOn w:val="OHHpara"/>
    <w:pPr>
      <w:ind w:firstLine="1440"/>
    </w:pPr>
  </w:style>
  <w:style w:type="character" w:styleId="PageNumber">
    <w:name w:val="page number"/>
    <w:basedOn w:val="DefaultParagraphFont"/>
    <w:rPr>
      <w:noProof w:val="0"/>
      <w:sz w:val="24"/>
      <w:lang w:val="fr-CA"/>
    </w:rPr>
  </w:style>
  <w:style w:type="character" w:customStyle="1" w:styleId="Prompt">
    <w:name w:val="Prompt"/>
    <w:aliases w:val="PR"/>
    <w:basedOn w:val="DefaultParagraphFont"/>
    <w:rPr>
      <w:color w:val="auto"/>
      <w:lang w:val="fr-CA"/>
    </w:rPr>
  </w:style>
  <w:style w:type="paragraph" w:customStyle="1" w:styleId="Schedule">
    <w:name w:val="Schedule"/>
    <w:aliases w:val="Sch"/>
    <w:basedOn w:val="OHHpara"/>
    <w:next w:val="OHHpara"/>
    <w:pPr>
      <w:keepNext/>
      <w:jc w:val="center"/>
    </w:pPr>
    <w:rPr>
      <w:b/>
      <w:caps/>
    </w:rPr>
  </w:style>
  <w:style w:type="paragraph" w:customStyle="1" w:styleId="OHHTableHead">
    <w:name w:val="OHHTableHead"/>
    <w:aliases w:val="TH"/>
    <w:basedOn w:val="OHHpara"/>
    <w:pPr>
      <w:keepNext/>
      <w:keepLines/>
      <w:spacing w:before="60" w:after="60"/>
    </w:pPr>
  </w:style>
  <w:style w:type="paragraph" w:customStyle="1" w:styleId="OHHTableText">
    <w:name w:val="OHHTableText"/>
    <w:aliases w:val="TT"/>
    <w:basedOn w:val="OHHpara"/>
    <w:pPr>
      <w:spacing w:before="60" w:after="60"/>
    </w:pPr>
    <w:rPr>
      <w:szCs w:val="24"/>
    </w:rPr>
  </w:style>
  <w:style w:type="paragraph" w:customStyle="1" w:styleId="Body">
    <w:name w:val="Body"/>
    <w:basedOn w:val="Normal"/>
    <w:link w:val="BodyChar"/>
    <w:pPr>
      <w:tabs>
        <w:tab w:val="left" w:pos="741"/>
      </w:tabs>
      <w:spacing w:after="240"/>
    </w:pPr>
    <w:rPr>
      <w:rFonts w:ascii="Arial" w:hAnsi="Arial"/>
      <w:sz w:val="22"/>
      <w:szCs w:val="24"/>
    </w:rPr>
  </w:style>
  <w:style w:type="character" w:customStyle="1" w:styleId="BodyChar">
    <w:name w:val="Body Char"/>
    <w:basedOn w:val="DefaultParagraphFont"/>
    <w:link w:val="Body"/>
    <w:rPr>
      <w:rFonts w:ascii="Arial" w:hAnsi="Arial"/>
      <w:sz w:val="22"/>
      <w:szCs w:val="24"/>
      <w:lang w:val="fr-CA"/>
    </w:rPr>
  </w:style>
  <w:style w:type="table" w:styleId="TableGrid">
    <w:name w:val="Table Grid"/>
    <w:basedOn w:val="TableNormal"/>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ArticleCont1">
    <w:name w:val="Article Cont 1"/>
    <w:basedOn w:val="Normal"/>
    <w:pPr>
      <w:spacing w:after="240"/>
      <w:jc w:val="both"/>
    </w:pPr>
    <w:rPr>
      <w:szCs w:val="24"/>
    </w:rPr>
  </w:style>
  <w:style w:type="paragraph" w:customStyle="1" w:styleId="ArticleCont2">
    <w:name w:val="Article Cont 2"/>
    <w:basedOn w:val="ArticleCont1"/>
  </w:style>
  <w:style w:type="paragraph" w:customStyle="1" w:styleId="ArticleCont3">
    <w:name w:val="Article Cont 3"/>
    <w:basedOn w:val="ArticleCont2"/>
  </w:style>
  <w:style w:type="paragraph" w:customStyle="1" w:styleId="ArticleCont4">
    <w:name w:val="Article Cont 4"/>
    <w:basedOn w:val="ArticleCont3"/>
  </w:style>
  <w:style w:type="paragraph" w:customStyle="1" w:styleId="ArticleCont5">
    <w:name w:val="Article Cont 5"/>
    <w:basedOn w:val="ArticleCont4"/>
  </w:style>
  <w:style w:type="paragraph" w:customStyle="1" w:styleId="ArticleCont6">
    <w:name w:val="Article Cont 6"/>
    <w:basedOn w:val="ArticleCont5"/>
  </w:style>
  <w:style w:type="paragraph" w:customStyle="1" w:styleId="ArticleCont7">
    <w:name w:val="Article Cont 7"/>
    <w:basedOn w:val="ArticleCont6"/>
  </w:style>
  <w:style w:type="paragraph" w:customStyle="1" w:styleId="ArticleCont8">
    <w:name w:val="Article Cont 8"/>
    <w:basedOn w:val="ArticleCont7"/>
  </w:style>
  <w:style w:type="paragraph" w:customStyle="1" w:styleId="ArticleCont9">
    <w:name w:val="Article Cont 9"/>
    <w:basedOn w:val="ArticleCont8"/>
  </w:style>
  <w:style w:type="paragraph" w:customStyle="1" w:styleId="ArticleL1">
    <w:name w:val="Article_L1"/>
    <w:basedOn w:val="Normal"/>
    <w:next w:val="ArticleL2"/>
    <w:pPr>
      <w:keepNext/>
      <w:numPr>
        <w:numId w:val="13"/>
      </w:numPr>
      <w:tabs>
        <w:tab w:val="clear" w:pos="567"/>
        <w:tab w:val="num" w:pos="0"/>
      </w:tabs>
      <w:spacing w:after="240"/>
      <w:ind w:left="0"/>
      <w:jc w:val="center"/>
      <w:outlineLvl w:val="0"/>
    </w:pPr>
    <w:rPr>
      <w:b/>
      <w:bCs/>
      <w:caps/>
      <w:szCs w:val="24"/>
    </w:rPr>
  </w:style>
  <w:style w:type="paragraph" w:customStyle="1" w:styleId="ArticleL2">
    <w:name w:val="Article_L2"/>
    <w:basedOn w:val="ArticleL1"/>
    <w:next w:val="OHHpara"/>
    <w:pPr>
      <w:numPr>
        <w:ilvl w:val="1"/>
      </w:numPr>
      <w:jc w:val="both"/>
      <w:outlineLvl w:val="1"/>
    </w:pPr>
    <w:rPr>
      <w:caps w:val="0"/>
    </w:rPr>
  </w:style>
  <w:style w:type="paragraph" w:customStyle="1" w:styleId="ArticleL3">
    <w:name w:val="Article_L3"/>
    <w:basedOn w:val="ArticleL2"/>
    <w:pPr>
      <w:keepNext w:val="0"/>
      <w:numPr>
        <w:ilvl w:val="2"/>
      </w:numPr>
      <w:outlineLvl w:val="2"/>
    </w:pPr>
    <w:rPr>
      <w:b w:val="0"/>
      <w:bCs w:val="0"/>
    </w:rPr>
  </w:style>
  <w:style w:type="paragraph" w:customStyle="1" w:styleId="ArticleL4">
    <w:name w:val="Article_L4"/>
    <w:basedOn w:val="ArticleL3"/>
    <w:pPr>
      <w:numPr>
        <w:ilvl w:val="3"/>
      </w:numPr>
      <w:outlineLvl w:val="3"/>
    </w:pPr>
  </w:style>
  <w:style w:type="paragraph" w:customStyle="1" w:styleId="ArticleL5">
    <w:name w:val="Article_L5"/>
    <w:basedOn w:val="ArticleL4"/>
    <w:pPr>
      <w:numPr>
        <w:ilvl w:val="4"/>
      </w:numPr>
      <w:outlineLvl w:val="4"/>
    </w:pPr>
  </w:style>
  <w:style w:type="paragraph" w:customStyle="1" w:styleId="ArticleL6">
    <w:name w:val="Article_L6"/>
    <w:basedOn w:val="ArticleL5"/>
    <w:pPr>
      <w:numPr>
        <w:ilvl w:val="5"/>
      </w:numPr>
      <w:outlineLvl w:val="5"/>
    </w:pPr>
  </w:style>
  <w:style w:type="paragraph" w:customStyle="1" w:styleId="ArticleL7">
    <w:name w:val="Article_L7"/>
    <w:basedOn w:val="ArticleL6"/>
    <w:pPr>
      <w:numPr>
        <w:ilvl w:val="6"/>
      </w:numPr>
      <w:outlineLvl w:val="6"/>
    </w:pPr>
  </w:style>
  <w:style w:type="paragraph" w:customStyle="1" w:styleId="ArticleL8">
    <w:name w:val="Article_L8"/>
    <w:basedOn w:val="ArticleL7"/>
    <w:pPr>
      <w:numPr>
        <w:ilvl w:val="7"/>
      </w:numPr>
      <w:outlineLvl w:val="7"/>
    </w:pPr>
  </w:style>
  <w:style w:type="paragraph" w:customStyle="1" w:styleId="ArticleL9">
    <w:name w:val="Article_L9"/>
    <w:basedOn w:val="ArticleL8"/>
    <w:pPr>
      <w:numPr>
        <w:ilvl w:val="8"/>
      </w:numPr>
      <w:outlineLvl w:val="8"/>
    </w:pPr>
  </w:style>
  <w:style w:type="paragraph" w:customStyle="1" w:styleId="DocsID">
    <w:name w:val="DocsID"/>
    <w:basedOn w:val="Normal"/>
    <w:pPr>
      <w:spacing w:before="20"/>
    </w:pPr>
    <w:rPr>
      <w:color w:val="000000"/>
      <w:sz w:val="12"/>
      <w:szCs w:val="12"/>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lang w:val="fr-CA"/>
    </w:rPr>
  </w:style>
  <w:style w:type="character" w:styleId="CommentReference">
    <w:name w:val="annotation reference"/>
    <w:basedOn w:val="DefaultParagraphFont"/>
    <w:uiPriority w:val="99"/>
    <w:semiHidden/>
    <w:unhideWhenUsed/>
    <w:rPr>
      <w:sz w:val="16"/>
      <w:szCs w:val="16"/>
      <w:lang w:val="fr-CA"/>
    </w:rPr>
  </w:style>
  <w:style w:type="paragraph" w:styleId="CommentSubject">
    <w:name w:val="annotation subject"/>
    <w:basedOn w:val="CommentText"/>
    <w:next w:val="CommentText"/>
    <w:link w:val="CommentSubjectChar"/>
    <w:uiPriority w:val="99"/>
    <w:semiHidden/>
    <w:unhideWhenUsed/>
    <w:rsid w:val="00885EA8"/>
    <w:rPr>
      <w:b/>
      <w:bCs/>
    </w:rPr>
  </w:style>
  <w:style w:type="character" w:customStyle="1" w:styleId="CommentSubjectChar">
    <w:name w:val="Comment Subject Char"/>
    <w:basedOn w:val="CommentTextChar"/>
    <w:link w:val="CommentSubject"/>
    <w:uiPriority w:val="99"/>
    <w:semiHidden/>
    <w:rsid w:val="00885EA8"/>
    <w:rPr>
      <w:b/>
      <w:bCs/>
      <w:lang w:val="fr-CA"/>
    </w:rPr>
  </w:style>
  <w:style w:type="paragraph" w:styleId="Revision">
    <w:name w:val="Revision"/>
    <w:hidden/>
    <w:uiPriority w:val="99"/>
    <w:semiHidden/>
    <w:rsid w:val="00885EA8"/>
    <w:rPr>
      <w:sz w:val="24"/>
    </w:rPr>
  </w:style>
  <w:style w:type="character" w:customStyle="1" w:styleId="FooterChar">
    <w:name w:val="Footer Char"/>
    <w:basedOn w:val="DefaultParagraphFont"/>
    <w:link w:val="Footer"/>
    <w:uiPriority w:val="99"/>
    <w:rsid w:val="00EE13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 D O C U M E N T S ! 7 1 8 5 6 8 4 8 . 1 0 < / d o c u m e n t i d >  
     < s e n d e r i d > A B O O D H O O < / s e n d e r i d >  
     < s e n d e r e m a i l > A B O O D H O O @ B L G . C O M < / s e n d e r e m a i l >  
     < l a s t m o d i f i e d > 2 0 2 0 - 0 7 - 2 9 T 0 9 : 0 4 : 0 0 . 0 0 0 0 0 0 0 - 0 4 : 0 0 < / l a s t m o d i f i e d >  
     < d a t a b a s e > D O C U M E N T S < / d a t a b a s e >  
 < / p r o p e r t i e s > 
</file>

<file path=customXml/itemProps1.xml><?xml version="1.0" encoding="utf-8"?>
<ds:datastoreItem xmlns:ds="http://schemas.openxmlformats.org/officeDocument/2006/customXml" ds:itemID="{60C6B005-978F-B94C-A86C-2EF763FE77E3}">
  <ds:schemaRefs>
    <ds:schemaRef ds:uri="http://schemas.openxmlformats.org/officeDocument/2006/bibliography"/>
  </ds:schemaRefs>
</ds:datastoreItem>
</file>

<file path=customXml/itemProps2.xml><?xml version="1.0" encoding="utf-8"?>
<ds:datastoreItem xmlns:ds="http://schemas.openxmlformats.org/officeDocument/2006/customXml" ds:itemID="{6DB2CFBB-95C7-464E-B6E5-91EAE24DA78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Lott, Steven</cp:lastModifiedBy>
  <cp:revision>2</cp:revision>
  <cp:lastPrinted>1900-01-01T05:00:00Z</cp:lastPrinted>
  <dcterms:created xsi:type="dcterms:W3CDTF">2020-09-16T14:41:00Z</dcterms:created>
  <dcterms:modified xsi:type="dcterms:W3CDTF">2020-09-16T14:41:00Z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0.2">
    <vt:lpwstr>8/5/2020 1:46:48 PM</vt:lpwstr>
  </property>
</Properties>
</file>